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A3" w:rsidRPr="002D4224" w:rsidRDefault="002D4224" w:rsidP="00484CF8">
      <w:pPr>
        <w:pStyle w:val="Typedocument"/>
        <w:rPr>
          <w:lang w:val="fr-BE"/>
        </w:rPr>
      </w:pPr>
      <w:bookmarkStart w:id="0" w:name="_GoBack"/>
      <w:bookmarkEnd w:id="0"/>
      <w:r w:rsidRPr="002D4224">
        <w:rPr>
          <w:lang w:val="fr-BE"/>
        </w:rPr>
        <w:t xml:space="preserve">DECISION DE </w:t>
      </w:r>
      <w:r w:rsidR="005F0771" w:rsidRPr="002D4224">
        <w:rPr>
          <w:lang w:val="fr-BE"/>
        </w:rPr>
        <w:t>COHORT</w:t>
      </w:r>
      <w:r w:rsidRPr="002D4224">
        <w:rPr>
          <w:lang w:val="fr-BE"/>
        </w:rPr>
        <w:t>E</w:t>
      </w:r>
    </w:p>
    <w:p w:rsidR="00C04771" w:rsidRDefault="00C04771" w:rsidP="009015A3">
      <w:pPr>
        <w:jc w:val="both"/>
        <w:rPr>
          <w:rStyle w:val="OndertitelChar"/>
          <w:lang w:val="fr-BE"/>
        </w:rPr>
      </w:pPr>
    </w:p>
    <w:p w:rsidR="009015A3" w:rsidRPr="002D4224" w:rsidRDefault="009015A3" w:rsidP="009015A3">
      <w:pPr>
        <w:jc w:val="both"/>
        <w:rPr>
          <w:lang w:val="fr-BE"/>
        </w:rPr>
      </w:pPr>
      <w:r w:rsidRPr="002D4224">
        <w:rPr>
          <w:rStyle w:val="OndertitelChar"/>
          <w:lang w:val="fr-BE"/>
        </w:rPr>
        <w:t>Dossier:</w:t>
      </w:r>
      <w:r w:rsidRPr="002D4224">
        <w:rPr>
          <w:lang w:val="fr-BE"/>
        </w:rPr>
        <w:t xml:space="preserve"> </w:t>
      </w:r>
      <w:r w:rsidR="00C07F11" w:rsidRPr="002D4224">
        <w:rPr>
          <w:rStyle w:val="OndertitelChar"/>
          <w:lang w:val="fr-BE"/>
        </w:rPr>
        <w:t>105</w:t>
      </w:r>
      <w:r w:rsidR="00091953">
        <w:rPr>
          <w:rStyle w:val="OndertitelChar"/>
          <w:lang w:val="fr-BE"/>
        </w:rPr>
        <w:t>6</w:t>
      </w:r>
    </w:p>
    <w:p w:rsidR="00DB6125" w:rsidRPr="00FA771F" w:rsidRDefault="00091953" w:rsidP="00E3732F">
      <w:pPr>
        <w:pStyle w:val="Geenafstand"/>
        <w:rPr>
          <w:rStyle w:val="Titelvanboek"/>
          <w:lang w:val="fr-BE"/>
        </w:rPr>
      </w:pPr>
      <w:r w:rsidRPr="00FA771F">
        <w:rPr>
          <w:rStyle w:val="Titelvanboek"/>
          <w:caps/>
          <w:smallCaps w:val="0"/>
          <w:lang w:val="fr-BE"/>
        </w:rPr>
        <w:t>VITRAKVI</w:t>
      </w:r>
    </w:p>
    <w:p w:rsidR="00E3732F" w:rsidRPr="00FA771F" w:rsidRDefault="00DB6125" w:rsidP="00E3732F">
      <w:pPr>
        <w:pStyle w:val="Geenafstand"/>
        <w:rPr>
          <w:rStyle w:val="Titelvanboek"/>
          <w:lang w:val="fr-BE"/>
        </w:rPr>
      </w:pPr>
      <w:r w:rsidRPr="00FA771F">
        <w:rPr>
          <w:rStyle w:val="Titelvanboek"/>
          <w:lang w:val="fr-BE"/>
        </w:rPr>
        <w:t>(</w:t>
      </w:r>
      <w:r w:rsidR="00091953" w:rsidRPr="00FA771F">
        <w:rPr>
          <w:rStyle w:val="Titelvanboek"/>
          <w:sz w:val="28"/>
          <w:lang w:val="fr-BE"/>
        </w:rPr>
        <w:t>LAROTRECTINIB</w:t>
      </w:r>
      <w:r w:rsidRPr="00FA771F">
        <w:rPr>
          <w:rStyle w:val="Titelvanboek"/>
          <w:lang w:val="fr-BE"/>
        </w:rPr>
        <w:t>)</w:t>
      </w:r>
    </w:p>
    <w:p w:rsidR="00597B4D" w:rsidRPr="00FA771F" w:rsidRDefault="00597B4D" w:rsidP="00597B4D">
      <w:pPr>
        <w:pStyle w:val="Geenafstand"/>
        <w:rPr>
          <w:rStyle w:val="Titelvanboek"/>
          <w:sz w:val="24"/>
          <w:lang w:val="fr-BE"/>
        </w:rPr>
      </w:pPr>
      <w:r w:rsidRPr="00FA771F">
        <w:rPr>
          <w:rStyle w:val="Titelvanboek"/>
          <w:sz w:val="24"/>
          <w:lang w:val="fr-BE"/>
        </w:rPr>
        <w:t xml:space="preserve">CAPSULES 100 MG </w:t>
      </w:r>
    </w:p>
    <w:p w:rsidR="00597B4D" w:rsidRPr="00FA771F" w:rsidRDefault="00597B4D" w:rsidP="00597B4D">
      <w:pPr>
        <w:pStyle w:val="Geenafstand"/>
        <w:rPr>
          <w:rStyle w:val="Titelvanboek"/>
          <w:sz w:val="24"/>
          <w:lang w:val="fr-BE"/>
        </w:rPr>
      </w:pPr>
      <w:r w:rsidRPr="00FA771F">
        <w:rPr>
          <w:rStyle w:val="Titelvanboek"/>
          <w:sz w:val="24"/>
          <w:lang w:val="fr-BE"/>
        </w:rPr>
        <w:t xml:space="preserve">CAPSULES 25 MG </w:t>
      </w:r>
    </w:p>
    <w:p w:rsidR="005F0771" w:rsidRPr="00FA771F" w:rsidRDefault="00C04CDA" w:rsidP="00597B4D">
      <w:pPr>
        <w:pStyle w:val="Geenafstand"/>
        <w:rPr>
          <w:rStyle w:val="Titelvanboek"/>
          <w:sz w:val="24"/>
          <w:lang w:val="fr-BE"/>
        </w:rPr>
      </w:pPr>
      <w:r w:rsidRPr="00FA771F">
        <w:rPr>
          <w:rStyle w:val="Titelvanboek"/>
          <w:sz w:val="24"/>
          <w:lang w:val="fr-BE"/>
        </w:rPr>
        <w:t xml:space="preserve">SOLUTION </w:t>
      </w:r>
      <w:r w:rsidR="00597B4D" w:rsidRPr="00FA771F">
        <w:rPr>
          <w:rStyle w:val="Titelvanboek"/>
          <w:sz w:val="24"/>
          <w:lang w:val="fr-BE"/>
        </w:rPr>
        <w:t>ORALE (20 MG/ML)</w:t>
      </w:r>
    </w:p>
    <w:p w:rsidR="005F0771" w:rsidRPr="00FA771F" w:rsidRDefault="005F0771" w:rsidP="005F0771">
      <w:pPr>
        <w:pStyle w:val="Geenafstand"/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000" w:firstRow="0" w:lastRow="0" w:firstColumn="0" w:lastColumn="0" w:noHBand="0" w:noVBand="0"/>
      </w:tblPr>
      <w:tblGrid>
        <w:gridCol w:w="9852"/>
      </w:tblGrid>
      <w:tr w:rsidR="005F0771" w:rsidRPr="009015A3" w:rsidTr="005F0771">
        <w:trPr>
          <w:cantSplit/>
        </w:trPr>
        <w:tc>
          <w:tcPr>
            <w:tcW w:w="9852" w:type="dxa"/>
            <w:shd w:val="clear" w:color="auto" w:fill="C6D9F1" w:themeFill="text2" w:themeFillTint="33"/>
          </w:tcPr>
          <w:p w:rsidR="005F0771" w:rsidRPr="00E5583D" w:rsidRDefault="005F0771" w:rsidP="005F0771">
            <w:pPr>
              <w:jc w:val="both"/>
              <w:rPr>
                <w:highlight w:val="yellow"/>
                <w:lang w:val="fr-BE"/>
              </w:rPr>
            </w:pPr>
            <w:r w:rsidRPr="00F8664A">
              <w:rPr>
                <w:b/>
                <w:lang w:val="fr-BE"/>
              </w:rPr>
              <w:t>COHORTE</w:t>
            </w:r>
            <w:r w:rsidR="002D4224">
              <w:rPr>
                <w:b/>
                <w:lang w:val="fr-BE"/>
              </w:rPr>
              <w:t xml:space="preserve"> MIXTE</w:t>
            </w:r>
          </w:p>
        </w:tc>
      </w:tr>
    </w:tbl>
    <w:p w:rsidR="005F0771" w:rsidRDefault="005F0771" w:rsidP="00E3732F">
      <w:pPr>
        <w:pStyle w:val="Geenafstand"/>
        <w:rPr>
          <w:rStyle w:val="Titelvanboek"/>
          <w:lang w:val="fr-BE"/>
        </w:rPr>
      </w:pPr>
    </w:p>
    <w:p w:rsidR="00B279BE" w:rsidRPr="00484CF8" w:rsidRDefault="00B279BE" w:rsidP="005F0771">
      <w:pPr>
        <w:pStyle w:val="Kop2"/>
        <w:numPr>
          <w:ilvl w:val="0"/>
          <w:numId w:val="0"/>
        </w:numPr>
        <w:ind w:left="720" w:hanging="720"/>
        <w:rPr>
          <w:lang w:val="nl-BE"/>
        </w:rPr>
      </w:pPr>
      <w:r w:rsidRPr="00484CF8">
        <w:rPr>
          <w:lang w:val="nl-BE"/>
        </w:rPr>
        <w:t>indicati</w:t>
      </w:r>
      <w:r w:rsidR="002D4224">
        <w:rPr>
          <w:lang w:val="nl-BE"/>
        </w:rPr>
        <w:t>on</w:t>
      </w:r>
      <w:r w:rsidRPr="00484CF8">
        <w:rPr>
          <w:lang w:val="nl-BE"/>
        </w:rPr>
        <w:t xml:space="preserve"> </w:t>
      </w:r>
      <w:r w:rsidR="002D4224" w:rsidRPr="00484CF8">
        <w:rPr>
          <w:lang w:val="nl-BE"/>
        </w:rPr>
        <w:t>thErapeuti</w:t>
      </w:r>
      <w:r w:rsidR="002D4224">
        <w:rPr>
          <w:lang w:val="nl-BE"/>
        </w:rPr>
        <w:t>qu</w:t>
      </w:r>
      <w:r w:rsidR="002D4224" w:rsidRPr="00484CF8">
        <w:rPr>
          <w:lang w:val="nl-BE"/>
        </w:rPr>
        <w:t>e</w:t>
      </w:r>
    </w:p>
    <w:p w:rsidR="00F13569" w:rsidRPr="002D4224" w:rsidRDefault="00091953" w:rsidP="0016155A">
      <w:pPr>
        <w:spacing w:before="120"/>
        <w:jc w:val="both"/>
        <w:rPr>
          <w:bCs/>
          <w:lang w:val="fr-BE"/>
        </w:rPr>
      </w:pPr>
      <w:r>
        <w:rPr>
          <w:lang w:val="fr-BE"/>
        </w:rPr>
        <w:t xml:space="preserve">Traitement des </w:t>
      </w:r>
      <w:r w:rsidRPr="00AB57C6">
        <w:rPr>
          <w:lang w:val="fr-BE"/>
        </w:rPr>
        <w:t>tumeurs solides localement avancées ou métastatiques liées à la fusion de gènes NTRK chez les patients adultes et pédiatriques</w:t>
      </w:r>
      <w:r>
        <w:rPr>
          <w:lang w:val="fr-BE"/>
        </w:rPr>
        <w:t xml:space="preserve"> après une thérapie standard antérieure, ou en tant que traitement de première ligne lorsqu’il n’existe aucune option thérapeutique appropriée</w:t>
      </w:r>
      <w:r w:rsidR="00F13569" w:rsidRPr="002D4224">
        <w:rPr>
          <w:bCs/>
          <w:lang w:val="fr-BE"/>
        </w:rPr>
        <w:t xml:space="preserve">. </w:t>
      </w:r>
    </w:p>
    <w:p w:rsidR="00B279BE" w:rsidRDefault="00B279BE" w:rsidP="00B279BE">
      <w:pPr>
        <w:pStyle w:val="Geenafstand"/>
        <w:rPr>
          <w:lang w:val="fr-BE"/>
        </w:rPr>
      </w:pPr>
    </w:p>
    <w:p w:rsidR="00B279BE" w:rsidRPr="00C7322B" w:rsidRDefault="005B31E1" w:rsidP="00B7737C">
      <w:pPr>
        <w:pStyle w:val="Kop2"/>
        <w:numPr>
          <w:ilvl w:val="0"/>
          <w:numId w:val="0"/>
        </w:numPr>
        <w:ind w:left="720" w:hanging="720"/>
        <w:rPr>
          <w:lang w:val="nl-BE"/>
        </w:rPr>
      </w:pPr>
      <w:r>
        <w:rPr>
          <w:lang w:val="nl-BE"/>
        </w:rPr>
        <w:t>DESCRIPTION DE LA COHORTE</w:t>
      </w:r>
    </w:p>
    <w:p w:rsidR="00B279BE" w:rsidRPr="00C7322B" w:rsidRDefault="00B279BE" w:rsidP="00B279BE">
      <w:pPr>
        <w:pStyle w:val="Geenafstan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279BE" w:rsidRPr="00490CFB" w:rsidTr="00B279BE">
        <w:trPr>
          <w:cantSplit/>
          <w:trHeight w:val="110"/>
        </w:trPr>
        <w:tc>
          <w:tcPr>
            <w:tcW w:w="9889" w:type="dxa"/>
            <w:shd w:val="clear" w:color="auto" w:fill="C6D9F1" w:themeFill="text2" w:themeFillTint="33"/>
          </w:tcPr>
          <w:p w:rsidR="00B279BE" w:rsidRPr="009A47A3" w:rsidRDefault="005B31E1" w:rsidP="00B279BE">
            <w:pPr>
              <w:jc w:val="both"/>
              <w:rPr>
                <w:b/>
              </w:rPr>
            </w:pPr>
            <w:r>
              <w:rPr>
                <w:b/>
                <w:lang w:val="fr-BE"/>
              </w:rPr>
              <w:t>Description de la cohorte</w:t>
            </w:r>
          </w:p>
        </w:tc>
      </w:tr>
      <w:tr w:rsidR="00B279BE" w:rsidRPr="00356562" w:rsidTr="00DB6125">
        <w:trPr>
          <w:cantSplit/>
          <w:trHeight w:val="110"/>
        </w:trPr>
        <w:tc>
          <w:tcPr>
            <w:tcW w:w="9889" w:type="dxa"/>
            <w:shd w:val="clear" w:color="auto" w:fill="F2DBDB" w:themeFill="accent2" w:themeFillTint="33"/>
          </w:tcPr>
          <w:p w:rsidR="00B279BE" w:rsidRPr="00D6580B" w:rsidRDefault="005B31E1" w:rsidP="00DB6125">
            <w:pPr>
              <w:rPr>
                <w:lang w:val="en-GB"/>
              </w:rPr>
            </w:pPr>
            <w:r w:rsidRPr="005278F8">
              <w:rPr>
                <w:lang w:val="fr-BE"/>
              </w:rPr>
              <w:t>Critères d’inclusion</w:t>
            </w:r>
          </w:p>
        </w:tc>
      </w:tr>
      <w:tr w:rsidR="00091953" w:rsidRPr="00091953" w:rsidTr="00B279BE">
        <w:trPr>
          <w:cantSplit/>
          <w:trHeight w:val="110"/>
        </w:trPr>
        <w:tc>
          <w:tcPr>
            <w:tcW w:w="9889" w:type="dxa"/>
          </w:tcPr>
          <w:p w:rsidR="00091953" w:rsidRPr="00091953" w:rsidRDefault="00597B4D" w:rsidP="00597B4D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>Consentement éclairé écrit</w:t>
            </w:r>
          </w:p>
        </w:tc>
      </w:tr>
      <w:tr w:rsidR="00091953" w:rsidRPr="00091953" w:rsidTr="00B279BE">
        <w:trPr>
          <w:cantSplit/>
          <w:trHeight w:val="110"/>
        </w:trPr>
        <w:tc>
          <w:tcPr>
            <w:tcW w:w="9889" w:type="dxa"/>
          </w:tcPr>
          <w:p w:rsidR="00091953" w:rsidRPr="00091953" w:rsidRDefault="00597B4D" w:rsidP="00597B4D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 xml:space="preserve">Age </w:t>
            </w:r>
            <w:r w:rsidR="00091953" w:rsidRPr="00091953">
              <w:rPr>
                <w:rFonts w:cstheme="minorHAnsi"/>
                <w:lang w:val="fr-BE"/>
              </w:rPr>
              <w:t>≥ 1 m</w:t>
            </w:r>
            <w:r>
              <w:rPr>
                <w:rFonts w:cstheme="minorHAnsi"/>
                <w:lang w:val="fr-BE"/>
              </w:rPr>
              <w:t>ois</w:t>
            </w:r>
            <w:r w:rsidR="00091953" w:rsidRPr="00091953">
              <w:rPr>
                <w:rFonts w:cstheme="minorHAnsi"/>
                <w:lang w:val="fr-BE"/>
              </w:rPr>
              <w:t>.</w:t>
            </w:r>
          </w:p>
        </w:tc>
      </w:tr>
      <w:tr w:rsidR="00091953" w:rsidRPr="00091953" w:rsidTr="00B279BE">
        <w:trPr>
          <w:cantSplit/>
          <w:trHeight w:val="110"/>
        </w:trPr>
        <w:tc>
          <w:tcPr>
            <w:tcW w:w="9889" w:type="dxa"/>
          </w:tcPr>
          <w:p w:rsidR="00091953" w:rsidRPr="00091953" w:rsidRDefault="00091953" w:rsidP="00597B4D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en-GB"/>
              </w:rPr>
            </w:pPr>
            <w:r w:rsidRPr="00091953">
              <w:rPr>
                <w:rFonts w:cstheme="minorHAnsi"/>
                <w:lang w:val="en-GB"/>
              </w:rPr>
              <w:t>ECOG-score (Eastern Cooperative Oncology Group) ≤ 3 o</w:t>
            </w:r>
            <w:r w:rsidR="00597B4D">
              <w:rPr>
                <w:rFonts w:cstheme="minorHAnsi"/>
                <w:lang w:val="en-GB"/>
              </w:rPr>
              <w:t>u</w:t>
            </w:r>
            <w:r w:rsidRPr="00091953">
              <w:rPr>
                <w:rFonts w:cstheme="minorHAnsi"/>
                <w:lang w:val="en-GB"/>
              </w:rPr>
              <w:t xml:space="preserve"> Lansky PS ≥ 50 </w:t>
            </w:r>
            <w:r w:rsidR="00597B4D">
              <w:rPr>
                <w:rFonts w:cstheme="minorHAnsi"/>
                <w:lang w:val="en-GB"/>
              </w:rPr>
              <w:t>pour les patients</w:t>
            </w:r>
            <w:r w:rsidRPr="00091953">
              <w:rPr>
                <w:rFonts w:cstheme="minorHAnsi"/>
                <w:lang w:val="en-GB"/>
              </w:rPr>
              <w:t xml:space="preserve"> &lt; 16 </w:t>
            </w:r>
            <w:r w:rsidR="00597B4D">
              <w:rPr>
                <w:rFonts w:cstheme="minorHAnsi"/>
                <w:lang w:val="en-GB"/>
              </w:rPr>
              <w:t>ans</w:t>
            </w:r>
            <w:r w:rsidRPr="00091953">
              <w:rPr>
                <w:rFonts w:cstheme="minorHAnsi"/>
                <w:lang w:val="en-GB"/>
              </w:rPr>
              <w:t>.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597B4D" w:rsidRDefault="00597B4D" w:rsidP="00597B4D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>
              <w:rPr>
                <w:lang w:val="fr-BE"/>
              </w:rPr>
              <w:t>T</w:t>
            </w:r>
            <w:r w:rsidRPr="00AB57C6">
              <w:rPr>
                <w:lang w:val="fr-BE"/>
              </w:rPr>
              <w:t>umeur solides localement avancée ou métastatique</w:t>
            </w:r>
            <w:r w:rsidR="00091953" w:rsidRPr="00597B4D">
              <w:rPr>
                <w:rFonts w:cstheme="minorHAnsi"/>
                <w:lang w:val="fr-BE"/>
              </w:rPr>
              <w:t>.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FA771F" w:rsidRDefault="00091953" w:rsidP="008176D4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 w:rsidRPr="00597B4D">
              <w:rPr>
                <w:rFonts w:cstheme="minorHAnsi"/>
                <w:lang w:val="fr-BE"/>
              </w:rPr>
              <w:t>Tum</w:t>
            </w:r>
            <w:r w:rsidR="00597B4D" w:rsidRPr="00597B4D">
              <w:rPr>
                <w:rFonts w:cstheme="minorHAnsi"/>
                <w:lang w:val="fr-BE"/>
              </w:rPr>
              <w:t>eur</w:t>
            </w:r>
            <w:r w:rsidRPr="00597B4D">
              <w:rPr>
                <w:rFonts w:cstheme="minorHAnsi"/>
                <w:lang w:val="fr-BE"/>
              </w:rPr>
              <w:t xml:space="preserve"> </w:t>
            </w:r>
            <w:r w:rsidR="00597B4D">
              <w:rPr>
                <w:rFonts w:cstheme="minorHAnsi"/>
                <w:lang w:val="fr-BE"/>
              </w:rPr>
              <w:t>présentant une fusion de gènes</w:t>
            </w:r>
            <w:r w:rsidRPr="00597B4D">
              <w:rPr>
                <w:rFonts w:cstheme="minorHAnsi"/>
                <w:lang w:val="fr-BE"/>
              </w:rPr>
              <w:t xml:space="preserve"> NTRK1, NTRK2 o</w:t>
            </w:r>
            <w:r w:rsidR="00597B4D">
              <w:rPr>
                <w:rFonts w:cstheme="minorHAnsi"/>
                <w:lang w:val="fr-BE"/>
              </w:rPr>
              <w:t>u</w:t>
            </w:r>
            <w:r w:rsidRPr="00597B4D">
              <w:rPr>
                <w:rFonts w:cstheme="minorHAnsi"/>
                <w:lang w:val="fr-BE"/>
              </w:rPr>
              <w:t xml:space="preserve"> NTRK3, </w:t>
            </w:r>
            <w:r w:rsidR="00597B4D">
              <w:rPr>
                <w:rFonts w:cstheme="minorHAnsi"/>
                <w:lang w:val="fr-BE"/>
              </w:rPr>
              <w:t xml:space="preserve">confirmée par une des méthodes </w:t>
            </w:r>
            <w:r w:rsidR="008176D4">
              <w:rPr>
                <w:rFonts w:cstheme="minorHAnsi"/>
                <w:lang w:val="fr-BE"/>
              </w:rPr>
              <w:t xml:space="preserve">d’essai </w:t>
            </w:r>
            <w:r w:rsidR="00597B4D">
              <w:rPr>
                <w:rFonts w:cstheme="minorHAnsi"/>
                <w:lang w:val="fr-BE"/>
              </w:rPr>
              <w:t xml:space="preserve">diagnostiques </w:t>
            </w:r>
            <w:r w:rsidR="008176D4">
              <w:rPr>
                <w:rFonts w:cstheme="minorHAnsi"/>
                <w:lang w:val="fr-BE"/>
              </w:rPr>
              <w:t>locales</w:t>
            </w:r>
            <w:r w:rsidR="00597B4D">
              <w:rPr>
                <w:rFonts w:cstheme="minorHAnsi"/>
                <w:lang w:val="fr-BE"/>
              </w:rPr>
              <w:t xml:space="preserve"> suivantes</w:t>
            </w:r>
            <w:r w:rsidRPr="00597B4D">
              <w:rPr>
                <w:rFonts w:cstheme="minorHAnsi"/>
                <w:lang w:val="fr-BE"/>
              </w:rPr>
              <w:t xml:space="preserve">: </w:t>
            </w:r>
            <w:r w:rsidR="008176D4" w:rsidRPr="008176D4">
              <w:rPr>
                <w:rFonts w:cstheme="minorHAnsi"/>
                <w:lang w:val="fr-BE"/>
              </w:rPr>
              <w:t xml:space="preserve">Fluorescent In Situ Hybridization </w:t>
            </w:r>
            <w:r w:rsidRPr="00597B4D">
              <w:rPr>
                <w:rFonts w:cstheme="minorHAnsi"/>
                <w:lang w:val="fr-BE"/>
              </w:rPr>
              <w:t>(FISH), Polymerase Chain Reaction (PCR) o</w:t>
            </w:r>
            <w:r w:rsidR="008176D4">
              <w:rPr>
                <w:rFonts w:cstheme="minorHAnsi"/>
                <w:lang w:val="fr-BE"/>
              </w:rPr>
              <w:t>u</w:t>
            </w:r>
            <w:r w:rsidRPr="00597B4D">
              <w:rPr>
                <w:rFonts w:cstheme="minorHAnsi"/>
                <w:lang w:val="fr-BE"/>
              </w:rPr>
              <w:t xml:space="preserve"> Next Generation Sequencing (NGS). </w:t>
            </w:r>
            <w:r w:rsidR="008176D4" w:rsidRPr="008176D4">
              <w:rPr>
                <w:rFonts w:cstheme="minorHAnsi"/>
                <w:lang w:val="fr-BE"/>
              </w:rPr>
              <w:t>Le rapport de pathologie anonymis</w:t>
            </w:r>
            <w:r w:rsidR="008176D4">
              <w:rPr>
                <w:rFonts w:cstheme="minorHAnsi"/>
                <w:lang w:val="fr-BE"/>
              </w:rPr>
              <w:t xml:space="preserve">é </w:t>
            </w:r>
            <w:r w:rsidR="008176D4" w:rsidRPr="008176D4">
              <w:rPr>
                <w:rFonts w:cstheme="minorHAnsi"/>
                <w:lang w:val="fr-BE"/>
              </w:rPr>
              <w:t>avec la fusion de gènes confirmée doit être transmise</w:t>
            </w:r>
            <w:r w:rsidR="008176D4">
              <w:rPr>
                <w:rFonts w:cstheme="minorHAnsi"/>
                <w:lang w:val="fr-BE"/>
              </w:rPr>
              <w:t xml:space="preserve"> pour contrôle dans le cadre du screening. Une immunohistochimie (IHC) positive seule ne suffit pas pour entrer en ligne de compte pour une participation au programme. </w:t>
            </w:r>
            <w:r w:rsidRPr="008176D4">
              <w:rPr>
                <w:rFonts w:cstheme="minorHAnsi"/>
                <w:lang w:val="fr-BE"/>
              </w:rPr>
              <w:t xml:space="preserve"> 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8176D4" w:rsidRDefault="00597B4D" w:rsidP="008176D4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 w:rsidRPr="008176D4">
              <w:rPr>
                <w:rFonts w:cstheme="minorHAnsi"/>
                <w:lang w:val="fr-BE"/>
              </w:rPr>
              <w:t xml:space="preserve">Le patient n’entre pas en ligne de compte pour un essai clinique en cours avec le </w:t>
            </w:r>
            <w:r w:rsidR="00091953" w:rsidRPr="008176D4">
              <w:rPr>
                <w:rFonts w:cstheme="minorHAnsi"/>
                <w:lang w:val="fr-BE"/>
              </w:rPr>
              <w:t>larotrectinib e</w:t>
            </w:r>
            <w:r w:rsidR="008176D4" w:rsidRPr="008176D4">
              <w:rPr>
                <w:rFonts w:cstheme="minorHAnsi"/>
                <w:lang w:val="fr-BE"/>
              </w:rPr>
              <w:t>t</w:t>
            </w:r>
            <w:r w:rsidR="00091953" w:rsidRPr="008176D4">
              <w:rPr>
                <w:rFonts w:cstheme="minorHAnsi"/>
                <w:lang w:val="fr-BE"/>
              </w:rPr>
              <w:t>/o</w:t>
            </w:r>
            <w:r w:rsidR="008176D4" w:rsidRPr="008176D4">
              <w:rPr>
                <w:rFonts w:cstheme="minorHAnsi"/>
                <w:lang w:val="fr-BE"/>
              </w:rPr>
              <w:t>u</w:t>
            </w:r>
            <w:r w:rsidR="00091953" w:rsidRPr="008176D4">
              <w:rPr>
                <w:rFonts w:cstheme="minorHAnsi"/>
                <w:lang w:val="fr-BE"/>
              </w:rPr>
              <w:t xml:space="preserve"> </w:t>
            </w:r>
            <w:r w:rsidR="008176D4" w:rsidRPr="008176D4">
              <w:rPr>
                <w:rFonts w:cstheme="minorHAnsi"/>
                <w:lang w:val="fr-BE"/>
              </w:rPr>
              <w:t xml:space="preserve">un essai clinique en cours </w:t>
            </w:r>
            <w:r w:rsidR="008176D4">
              <w:rPr>
                <w:rFonts w:cstheme="minorHAnsi"/>
                <w:lang w:val="fr-BE"/>
              </w:rPr>
              <w:t xml:space="preserve">dans l’indication visée de ce programme. 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0A53D5" w:rsidRDefault="00E1498F" w:rsidP="000A53D5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 w:rsidRPr="000A53D5">
              <w:rPr>
                <w:rFonts w:cstheme="minorHAnsi"/>
                <w:lang w:val="fr-BE"/>
              </w:rPr>
              <w:t>Le patient ne peut pas être traité de manière efficace avec les tr</w:t>
            </w:r>
            <w:r w:rsidR="000A53D5" w:rsidRPr="000A53D5">
              <w:rPr>
                <w:rFonts w:cstheme="minorHAnsi"/>
                <w:lang w:val="fr-BE"/>
              </w:rPr>
              <w:t>aitements alternatifs approuvés et disponibles sur le marché</w:t>
            </w:r>
            <w:r w:rsidR="00091953" w:rsidRPr="000A53D5">
              <w:rPr>
                <w:rFonts w:cstheme="minorHAnsi"/>
                <w:lang w:val="fr-BE"/>
              </w:rPr>
              <w:t xml:space="preserve">, </w:t>
            </w:r>
            <w:r w:rsidR="000A53D5">
              <w:rPr>
                <w:rFonts w:cstheme="minorHAnsi"/>
                <w:lang w:val="fr-BE"/>
              </w:rPr>
              <w:t xml:space="preserve">en concordance avec les guidelines cliniques, en raison de problèmes d’efficacité et/ou de sécurité. 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FA771F" w:rsidRDefault="000A53D5" w:rsidP="000A53D5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 w:rsidRPr="000A53D5">
              <w:rPr>
                <w:rFonts w:cstheme="minorHAnsi"/>
                <w:lang w:val="fr-BE"/>
              </w:rPr>
              <w:t xml:space="preserve">Fonctions hépatique et rénale satisfaisantes déterminées dans les 7 jours qui précèdent le début du traitement. 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B92E69" w:rsidRDefault="000A53D5" w:rsidP="00B92E69">
            <w:pPr>
              <w:keepNext/>
              <w:keepLines/>
              <w:numPr>
                <w:ilvl w:val="0"/>
                <w:numId w:val="27"/>
              </w:numPr>
              <w:spacing w:line="240" w:lineRule="auto"/>
              <w:rPr>
                <w:rFonts w:cstheme="minorHAnsi"/>
                <w:lang w:val="fr-BE"/>
              </w:rPr>
            </w:pPr>
            <w:r w:rsidRPr="000A53D5">
              <w:rPr>
                <w:rFonts w:cstheme="minorHAnsi"/>
                <w:lang w:val="fr-BE"/>
              </w:rPr>
              <w:t xml:space="preserve">Les femmes en âge de procréer et les hommes qui peuvent engendrer des enfants doivent être d’accord d’utiliser un moyen contraceptif très efficace s’ils sont sexuellement </w:t>
            </w:r>
            <w:r>
              <w:rPr>
                <w:rFonts w:cstheme="minorHAnsi"/>
                <w:lang w:val="fr-BE"/>
              </w:rPr>
              <w:t>a</w:t>
            </w:r>
            <w:r w:rsidRPr="000A53D5">
              <w:rPr>
                <w:rFonts w:cstheme="minorHAnsi"/>
                <w:lang w:val="fr-BE"/>
              </w:rPr>
              <w:t xml:space="preserve">ctifs et ce jusqu’à au moins un mois après l’administration de la dernière dose. </w:t>
            </w:r>
            <w:r w:rsidR="00B92E69" w:rsidRPr="00B92E69">
              <w:rPr>
                <w:rFonts w:cstheme="minorHAnsi"/>
                <w:lang w:val="fr-BE"/>
              </w:rPr>
              <w:t>Il est demandé au</w:t>
            </w:r>
            <w:r w:rsidRPr="00B92E69">
              <w:rPr>
                <w:rFonts w:cstheme="minorHAnsi"/>
                <w:lang w:val="fr-BE"/>
              </w:rPr>
              <w:t xml:space="preserve"> médecin traitant ou </w:t>
            </w:r>
            <w:r w:rsidR="00B92E69" w:rsidRPr="00B92E69">
              <w:rPr>
                <w:rFonts w:cstheme="minorHAnsi"/>
                <w:lang w:val="fr-BE"/>
              </w:rPr>
              <w:t xml:space="preserve">à </w:t>
            </w:r>
            <w:r w:rsidRPr="00B92E69">
              <w:rPr>
                <w:rFonts w:cstheme="minorHAnsi"/>
                <w:lang w:val="fr-BE"/>
              </w:rPr>
              <w:t xml:space="preserve">un collègue </w:t>
            </w:r>
            <w:r w:rsidR="00B92E69" w:rsidRPr="00B92E69">
              <w:rPr>
                <w:rFonts w:cstheme="minorHAnsi"/>
                <w:lang w:val="fr-BE"/>
              </w:rPr>
              <w:t xml:space="preserve">désigné d’informer le patient sur la manière </w:t>
            </w:r>
            <w:r w:rsidR="00B92E69">
              <w:rPr>
                <w:rFonts w:cstheme="minorHAnsi"/>
                <w:lang w:val="fr-BE"/>
              </w:rPr>
              <w:t>de parvenir à</w:t>
            </w:r>
            <w:r w:rsidR="00B92E69" w:rsidRPr="00B92E69">
              <w:rPr>
                <w:rFonts w:cstheme="minorHAnsi"/>
                <w:lang w:val="fr-BE"/>
              </w:rPr>
              <w:t xml:space="preserve"> une contraception très efficace. </w:t>
            </w:r>
          </w:p>
        </w:tc>
      </w:tr>
    </w:tbl>
    <w:p w:rsidR="00091953" w:rsidRPr="00B92E69" w:rsidRDefault="00091953">
      <w:pPr>
        <w:rPr>
          <w:lang w:val="fr-BE"/>
        </w:rPr>
      </w:pPr>
    </w:p>
    <w:p w:rsidR="00091953" w:rsidRPr="00B92E69" w:rsidRDefault="00091953" w:rsidP="00091953">
      <w:pPr>
        <w:pStyle w:val="Geenafstand"/>
        <w:rPr>
          <w:lang w:val="fr-BE"/>
        </w:rPr>
      </w:pPr>
      <w:r w:rsidRPr="00B92E69">
        <w:rPr>
          <w:lang w:val="fr-BE"/>
        </w:rPr>
        <w:br w:type="page"/>
      </w:r>
    </w:p>
    <w:p w:rsidR="003B17BE" w:rsidRPr="00B92E69" w:rsidRDefault="003B17BE">
      <w:pPr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279BE" w:rsidRPr="00356562" w:rsidTr="00DB6125">
        <w:trPr>
          <w:cantSplit/>
          <w:trHeight w:val="110"/>
        </w:trPr>
        <w:tc>
          <w:tcPr>
            <w:tcW w:w="9889" w:type="dxa"/>
            <w:shd w:val="clear" w:color="auto" w:fill="F2DBDB" w:themeFill="accent2" w:themeFillTint="33"/>
          </w:tcPr>
          <w:p w:rsidR="00DB6125" w:rsidRPr="000159DC" w:rsidRDefault="005278F8" w:rsidP="005F0771">
            <w:pPr>
              <w:pStyle w:val="Geenafstand"/>
            </w:pPr>
            <w:r w:rsidRPr="000159DC">
              <w:t>Critères d’exclusion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B92E69" w:rsidRDefault="00B92E69" w:rsidP="00BD030C">
            <w:pPr>
              <w:keepNext/>
              <w:keepLines/>
              <w:numPr>
                <w:ilvl w:val="0"/>
                <w:numId w:val="46"/>
              </w:numPr>
              <w:spacing w:line="240" w:lineRule="auto"/>
              <w:rPr>
                <w:rFonts w:cstheme="minorHAnsi"/>
                <w:lang w:val="fr-BE"/>
              </w:rPr>
            </w:pPr>
            <w:r w:rsidRPr="00B92E69">
              <w:rPr>
                <w:rFonts w:cstheme="minorHAnsi"/>
                <w:lang w:val="fr-BE"/>
              </w:rPr>
              <w:t>Un médicament expérimental ou une thérapie contre le cancer moins de 2 semaines avant le début planifié avec le</w:t>
            </w:r>
            <w:r w:rsidR="00091953" w:rsidRPr="00B92E69">
              <w:rPr>
                <w:rFonts w:cstheme="minorHAnsi"/>
                <w:lang w:val="fr-BE"/>
              </w:rPr>
              <w:t xml:space="preserve"> larotrectinib </w:t>
            </w:r>
            <w:r w:rsidRPr="00B92E69">
              <w:rPr>
                <w:rFonts w:cstheme="minorHAnsi"/>
                <w:lang w:val="fr-BE"/>
              </w:rPr>
              <w:t>ou 5</w:t>
            </w:r>
            <w:r>
              <w:rPr>
                <w:rFonts w:cstheme="minorHAnsi"/>
                <w:lang w:val="fr-BE"/>
              </w:rPr>
              <w:t xml:space="preserve"> demi-vies (la période la plus </w:t>
            </w:r>
            <w:r w:rsidRPr="00B92E69">
              <w:rPr>
                <w:rFonts w:cstheme="minorHAnsi"/>
                <w:lang w:val="fr-BE"/>
              </w:rPr>
              <w:t xml:space="preserve">courte des deux) </w:t>
            </w:r>
            <w:r w:rsidRPr="00FA771F">
              <w:rPr>
                <w:rFonts w:cstheme="minorHAnsi"/>
                <w:lang w:val="fr-BE"/>
              </w:rPr>
              <w:t xml:space="preserve">et sans </w:t>
            </w:r>
            <w:r w:rsidR="00BD030C">
              <w:rPr>
                <w:rFonts w:cstheme="minorHAnsi"/>
                <w:lang w:val="fr-BE"/>
              </w:rPr>
              <w:t>récupération</w:t>
            </w:r>
            <w:r w:rsidRPr="00FA771F">
              <w:rPr>
                <w:rFonts w:cstheme="minorHAnsi"/>
                <w:lang w:val="fr-BE"/>
              </w:rPr>
              <w:t xml:space="preserve"> de toxicité clinique significative en conséquence de ce traitement.</w:t>
            </w:r>
            <w:r>
              <w:rPr>
                <w:rFonts w:cstheme="minorHAnsi"/>
                <w:lang w:val="fr-BE"/>
              </w:rPr>
              <w:t xml:space="preserve"> 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1248A9" w:rsidRDefault="001248A9" w:rsidP="001248A9">
            <w:pPr>
              <w:keepNext/>
              <w:keepLines/>
              <w:numPr>
                <w:ilvl w:val="0"/>
                <w:numId w:val="46"/>
              </w:numPr>
              <w:spacing w:line="240" w:lineRule="auto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>Progression antérieure</w:t>
            </w:r>
            <w:r w:rsidR="00091953" w:rsidRPr="001248A9">
              <w:rPr>
                <w:rFonts w:cstheme="minorHAnsi"/>
                <w:lang w:val="fr-BE"/>
              </w:rPr>
              <w:t xml:space="preserve"> </w:t>
            </w:r>
            <w:r w:rsidRPr="001248A9">
              <w:rPr>
                <w:rFonts w:cstheme="minorHAnsi"/>
                <w:lang w:val="fr-BE"/>
              </w:rPr>
              <w:t>de la tumeur pendant le traitement avec un inhibiteur de la ty</w:t>
            </w:r>
            <w:r>
              <w:rPr>
                <w:rFonts w:cstheme="minorHAnsi"/>
                <w:lang w:val="fr-BE"/>
              </w:rPr>
              <w:t>rosi</w:t>
            </w:r>
            <w:r w:rsidRPr="001248A9">
              <w:rPr>
                <w:rFonts w:cstheme="minorHAnsi"/>
                <w:lang w:val="fr-BE"/>
              </w:rPr>
              <w:t xml:space="preserve">ne kinase approuvé ou expérimental dirigé </w:t>
            </w:r>
            <w:r>
              <w:rPr>
                <w:rFonts w:cstheme="minorHAnsi"/>
                <w:lang w:val="fr-BE"/>
              </w:rPr>
              <w:t>contre</w:t>
            </w:r>
            <w:r w:rsidRPr="001248A9">
              <w:rPr>
                <w:rFonts w:cstheme="minorHAnsi"/>
                <w:lang w:val="fr-BE"/>
              </w:rPr>
              <w:t xml:space="preserve"> </w:t>
            </w:r>
            <w:r>
              <w:rPr>
                <w:rFonts w:cstheme="minorHAnsi"/>
                <w:lang w:val="fr-BE"/>
              </w:rPr>
              <w:t xml:space="preserve">le </w:t>
            </w:r>
            <w:r w:rsidR="00091953" w:rsidRPr="001248A9">
              <w:rPr>
                <w:rFonts w:cstheme="minorHAnsi"/>
                <w:lang w:val="fr-BE"/>
              </w:rPr>
              <w:t xml:space="preserve">TRK. </w:t>
            </w:r>
            <w:r w:rsidRPr="001248A9">
              <w:rPr>
                <w:rFonts w:cstheme="minorHAnsi"/>
                <w:lang w:val="fr-BE"/>
              </w:rPr>
              <w:t xml:space="preserve">Les patients qui ont été traités pendant moins de 28 jours et qui ont arrêté le traitement </w:t>
            </w:r>
            <w:r>
              <w:rPr>
                <w:rFonts w:cstheme="minorHAnsi"/>
                <w:lang w:val="fr-BE"/>
              </w:rPr>
              <w:t>en raison</w:t>
            </w:r>
            <w:r w:rsidRPr="001248A9">
              <w:rPr>
                <w:rFonts w:cstheme="minorHAnsi"/>
                <w:lang w:val="fr-BE"/>
              </w:rPr>
              <w:t xml:space="preserve"> d’une intolér</w:t>
            </w:r>
            <w:r>
              <w:rPr>
                <w:rFonts w:cstheme="minorHAnsi"/>
                <w:lang w:val="fr-BE"/>
              </w:rPr>
              <w:t>ance ou de la toxicité, peuvent</w:t>
            </w:r>
            <w:r w:rsidRPr="001248A9">
              <w:rPr>
                <w:rFonts w:cstheme="minorHAnsi"/>
                <w:lang w:val="fr-BE"/>
              </w:rPr>
              <w:t xml:space="preserve"> bien participer au programme. 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890C36" w:rsidRDefault="00890C36" w:rsidP="00890C36">
            <w:pPr>
              <w:keepNext/>
              <w:keepLines/>
              <w:numPr>
                <w:ilvl w:val="0"/>
                <w:numId w:val="46"/>
              </w:numPr>
              <w:spacing w:line="240" w:lineRule="auto"/>
              <w:rPr>
                <w:rFonts w:cstheme="minorHAnsi"/>
                <w:lang w:val="fr-BE"/>
              </w:rPr>
            </w:pPr>
            <w:r w:rsidRPr="00890C36">
              <w:rPr>
                <w:rFonts w:cstheme="minorHAnsi"/>
                <w:lang w:val="fr-BE"/>
              </w:rPr>
              <w:t>Métastases cérébrales symptomatiques ou instables</w:t>
            </w:r>
            <w:r w:rsidR="00091953" w:rsidRPr="00890C36">
              <w:rPr>
                <w:rFonts w:cstheme="minorHAnsi"/>
                <w:lang w:val="fr-BE"/>
              </w:rPr>
              <w:t>. (</w:t>
            </w:r>
            <w:r w:rsidRPr="00890C36">
              <w:rPr>
                <w:rFonts w:cstheme="minorHAnsi"/>
                <w:lang w:val="fr-BE"/>
              </w:rPr>
              <w:t>Re</w:t>
            </w:r>
            <w:r w:rsidR="00091953" w:rsidRPr="00890C36">
              <w:rPr>
                <w:rFonts w:cstheme="minorHAnsi"/>
                <w:lang w:val="fr-BE"/>
              </w:rPr>
              <w:t xml:space="preserve">m.: </w:t>
            </w:r>
            <w:r w:rsidRPr="00890C36">
              <w:rPr>
                <w:rFonts w:cstheme="minorHAnsi"/>
                <w:lang w:val="fr-BE"/>
              </w:rPr>
              <w:t>les patients avec des m</w:t>
            </w:r>
            <w:r>
              <w:rPr>
                <w:rFonts w:cstheme="minorHAnsi"/>
                <w:lang w:val="fr-BE"/>
              </w:rPr>
              <w:t>é</w:t>
            </w:r>
            <w:r w:rsidRPr="00890C36">
              <w:rPr>
                <w:rFonts w:cstheme="minorHAnsi"/>
                <w:lang w:val="fr-BE"/>
              </w:rPr>
              <w:t>tastases</w:t>
            </w:r>
            <w:r w:rsidR="00CB5691">
              <w:rPr>
                <w:rFonts w:cstheme="minorHAnsi"/>
                <w:lang w:val="fr-BE"/>
              </w:rPr>
              <w:t xml:space="preserve"> cérébrales asymptomati</w:t>
            </w:r>
            <w:r w:rsidRPr="00890C36">
              <w:rPr>
                <w:rFonts w:cstheme="minorHAnsi"/>
                <w:lang w:val="fr-BE"/>
              </w:rPr>
              <w:t>ques peuvent bien participer au programme</w:t>
            </w:r>
            <w:r w:rsidR="00091953" w:rsidRPr="00890C36">
              <w:rPr>
                <w:rFonts w:cstheme="minorHAnsi"/>
                <w:lang w:val="fr-BE"/>
              </w:rPr>
              <w:t xml:space="preserve">.) 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1248A9" w:rsidRDefault="00890C36" w:rsidP="001248A9">
            <w:pPr>
              <w:keepNext/>
              <w:keepLines/>
              <w:numPr>
                <w:ilvl w:val="0"/>
                <w:numId w:val="46"/>
              </w:numPr>
              <w:spacing w:line="240" w:lineRule="auto"/>
              <w:rPr>
                <w:rFonts w:cstheme="minorHAnsi"/>
                <w:lang w:val="fr-BE"/>
              </w:rPr>
            </w:pPr>
            <w:r w:rsidRPr="001248A9">
              <w:rPr>
                <w:rFonts w:cstheme="minorHAnsi"/>
                <w:lang w:val="fr-BE"/>
              </w:rPr>
              <w:t xml:space="preserve">Infection bactérienne, virale ou </w:t>
            </w:r>
            <w:r w:rsidR="001248A9" w:rsidRPr="001248A9">
              <w:rPr>
                <w:rFonts w:cstheme="minorHAnsi"/>
                <w:lang w:val="fr-BE"/>
              </w:rPr>
              <w:t>fongique active, non contrôlée et systémique</w:t>
            </w:r>
            <w:r w:rsidR="00091953" w:rsidRPr="001248A9">
              <w:rPr>
                <w:rFonts w:cstheme="minorHAnsi"/>
                <w:lang w:val="fr-BE"/>
              </w:rPr>
              <w:t>,</w:t>
            </w:r>
            <w:r w:rsidR="001248A9" w:rsidRPr="001248A9">
              <w:rPr>
                <w:rFonts w:cstheme="minorHAnsi"/>
                <w:lang w:val="fr-BE"/>
              </w:rPr>
              <w:t xml:space="preserve"> affection cardiovasculaire instable ou une autre maladie systémique qui </w:t>
            </w:r>
            <w:r w:rsidR="001248A9">
              <w:rPr>
                <w:rFonts w:cstheme="minorHAnsi"/>
                <w:lang w:val="fr-BE"/>
              </w:rPr>
              <w:t xml:space="preserve">entraverait le respect des procédures de l’étude. </w:t>
            </w:r>
            <w:r w:rsidR="00091953" w:rsidRPr="001248A9">
              <w:rPr>
                <w:rFonts w:cstheme="minorHAnsi"/>
                <w:lang w:val="fr-BE"/>
              </w:rPr>
              <w:t xml:space="preserve"> 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1248A9" w:rsidRDefault="001248A9" w:rsidP="001248A9">
            <w:pPr>
              <w:keepNext/>
              <w:keepLines/>
              <w:numPr>
                <w:ilvl w:val="0"/>
                <w:numId w:val="46"/>
              </w:numPr>
              <w:spacing w:line="240" w:lineRule="auto"/>
              <w:rPr>
                <w:rFonts w:cstheme="minorHAnsi"/>
                <w:lang w:val="fr-BE"/>
              </w:rPr>
            </w:pPr>
            <w:r w:rsidRPr="001248A9">
              <w:rPr>
                <w:rFonts w:cstheme="minorHAnsi"/>
                <w:lang w:val="fr-BE"/>
              </w:rPr>
              <w:t xml:space="preserve">Une affection </w:t>
            </w:r>
            <w:r w:rsidR="00091953" w:rsidRPr="001248A9">
              <w:rPr>
                <w:rFonts w:cstheme="minorHAnsi"/>
                <w:lang w:val="fr-BE"/>
              </w:rPr>
              <w:t xml:space="preserve">cardiovasculaire </w:t>
            </w:r>
            <w:r w:rsidRPr="001248A9">
              <w:rPr>
                <w:rFonts w:cstheme="minorHAnsi"/>
                <w:lang w:val="fr-BE"/>
              </w:rPr>
              <w:t>instable est définie comme</w:t>
            </w:r>
            <w:r w:rsidR="00091953" w:rsidRPr="001248A9">
              <w:rPr>
                <w:rFonts w:cstheme="minorHAnsi"/>
                <w:lang w:val="fr-BE"/>
              </w:rPr>
              <w:t>: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597B4D" w:rsidRPr="00CB5691" w:rsidRDefault="001248A9" w:rsidP="00597B4D">
            <w:pPr>
              <w:pStyle w:val="Lijstalinea"/>
              <w:keepNext/>
              <w:keepLines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lang w:val="fr-BE"/>
              </w:rPr>
            </w:pPr>
            <w:r w:rsidRPr="00CB5691">
              <w:rPr>
                <w:rFonts w:asciiTheme="minorHAnsi" w:hAnsiTheme="minorHAnsi" w:cstheme="minorHAnsi"/>
                <w:sz w:val="20"/>
                <w:lang w:val="fr-BE"/>
              </w:rPr>
              <w:t>Hypertension persistante non contrôlée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, </w:t>
            </w:r>
            <w:r w:rsidR="00CB5691" w:rsidRPr="00CB5691">
              <w:rPr>
                <w:rFonts w:asciiTheme="minorHAnsi" w:hAnsiTheme="minorHAnsi" w:cstheme="minorHAnsi"/>
                <w:sz w:val="20"/>
                <w:lang w:val="fr-BE"/>
              </w:rPr>
              <w:t>définie comme une pression artérielle systolique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 &gt; 150 mmHg e</w:t>
            </w:r>
            <w:r w:rsidR="00CB5691">
              <w:rPr>
                <w:rFonts w:asciiTheme="minorHAnsi" w:hAnsiTheme="minorHAnsi" w:cstheme="minorHAnsi"/>
                <w:sz w:val="20"/>
                <w:lang w:val="fr-BE"/>
              </w:rPr>
              <w:t>t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>/o</w:t>
            </w:r>
            <w:r w:rsidR="00CB5691">
              <w:rPr>
                <w:rFonts w:asciiTheme="minorHAnsi" w:hAnsiTheme="minorHAnsi" w:cstheme="minorHAnsi"/>
                <w:sz w:val="20"/>
                <w:lang w:val="fr-BE"/>
              </w:rPr>
              <w:t>u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 </w:t>
            </w:r>
            <w:r w:rsidR="00CB5691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une pression artérielle </w:t>
            </w:r>
            <w:r w:rsidR="00CB5691">
              <w:rPr>
                <w:rFonts w:asciiTheme="minorHAnsi" w:hAnsiTheme="minorHAnsi" w:cstheme="minorHAnsi"/>
                <w:sz w:val="20"/>
                <w:lang w:val="fr-BE"/>
              </w:rPr>
              <w:t>dia</w:t>
            </w:r>
            <w:r w:rsidR="00CB5691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stolique 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>&gt; 100 mmHg</w:t>
            </w:r>
            <w:r w:rsidR="00CB5691">
              <w:rPr>
                <w:rFonts w:asciiTheme="minorHAnsi" w:hAnsiTheme="minorHAnsi" w:cstheme="minorHAnsi"/>
                <w:sz w:val="20"/>
                <w:lang w:val="fr-BE"/>
              </w:rPr>
              <w:t xml:space="preserve"> malgré un traitement avec des antihypertenseurs. </w:t>
            </w:r>
            <w:r w:rsidR="00CB5691" w:rsidRPr="00CB5691">
              <w:rPr>
                <w:rFonts w:asciiTheme="minorHAnsi" w:hAnsiTheme="minorHAnsi" w:cstheme="minorHAnsi"/>
                <w:sz w:val="20"/>
                <w:lang w:val="fr-BE"/>
              </w:rPr>
              <w:t>Chez les patients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 &lt; 18 </w:t>
            </w:r>
            <w:r w:rsidR="00CB5691" w:rsidRPr="00CB5691">
              <w:rPr>
                <w:rFonts w:asciiTheme="minorHAnsi" w:hAnsiTheme="minorHAnsi" w:cstheme="minorHAnsi"/>
                <w:sz w:val="20"/>
                <w:lang w:val="fr-BE"/>
              </w:rPr>
              <w:t>ans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: </w:t>
            </w:r>
            <w:r w:rsidR="00CB5691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hypertension persistante non contrôlée définie comme une pression artérielle </w:t>
            </w:r>
            <w:r w:rsidR="00CB5691">
              <w:rPr>
                <w:rFonts w:asciiTheme="minorHAnsi" w:hAnsiTheme="minorHAnsi" w:cstheme="minorHAnsi"/>
                <w:sz w:val="20"/>
                <w:lang w:val="fr-BE"/>
              </w:rPr>
              <w:t>dans le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 95e percenti</w:t>
            </w:r>
            <w:r w:rsidR="00CB5691">
              <w:rPr>
                <w:rFonts w:asciiTheme="minorHAnsi" w:hAnsiTheme="minorHAnsi" w:cstheme="minorHAnsi"/>
                <w:sz w:val="20"/>
                <w:lang w:val="fr-BE"/>
              </w:rPr>
              <w:t>le ou supérieure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 </w:t>
            </w:r>
            <w:r w:rsidR="00CB5691">
              <w:rPr>
                <w:rFonts w:asciiTheme="minorHAnsi" w:hAnsiTheme="minorHAnsi" w:cstheme="minorHAnsi"/>
                <w:sz w:val="20"/>
                <w:lang w:val="fr-BE"/>
              </w:rPr>
              <w:t>malgré un traitement avec des antihypertenseurs</w:t>
            </w:r>
            <w:r w:rsidR="00091953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. </w:t>
            </w:r>
          </w:p>
          <w:p w:rsidR="00597B4D" w:rsidRPr="00CB5691" w:rsidRDefault="00CB5691" w:rsidP="00597B4D">
            <w:pPr>
              <w:pStyle w:val="Lijstalinea"/>
              <w:keepNext/>
              <w:keepLines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Infarctus du myocarde moins de 3 mois avant le screening</w:t>
            </w:r>
            <w:r w:rsidR="00597B4D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. </w:t>
            </w:r>
          </w:p>
          <w:p w:rsidR="00091953" w:rsidRPr="00CB5691" w:rsidRDefault="00CB5691" w:rsidP="00597B4D">
            <w:pPr>
              <w:pStyle w:val="Lijstalinea"/>
              <w:keepNext/>
              <w:keepLines/>
              <w:numPr>
                <w:ilvl w:val="0"/>
                <w:numId w:val="47"/>
              </w:numPr>
              <w:rPr>
                <w:rFonts w:cstheme="minorHAnsi"/>
                <w:lang w:val="fr-BE"/>
              </w:rPr>
            </w:pPr>
            <w:r w:rsidRPr="00CB5691">
              <w:rPr>
                <w:rFonts w:asciiTheme="minorHAnsi" w:hAnsiTheme="minorHAnsi" w:cstheme="minorHAnsi"/>
                <w:sz w:val="20"/>
                <w:lang w:val="fr-BE"/>
              </w:rPr>
              <w:t>AVC</w:t>
            </w:r>
            <w:r w:rsidR="00597B4D" w:rsidRPr="00CB5691">
              <w:rPr>
                <w:rFonts w:asciiTheme="minorHAnsi" w:hAnsiTheme="minorHAnsi" w:cs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>moins de 3 mois avant le screening</w:t>
            </w:r>
          </w:p>
        </w:tc>
      </w:tr>
      <w:tr w:rsidR="00091953" w:rsidRPr="00FA771F" w:rsidTr="00B279BE">
        <w:trPr>
          <w:cantSplit/>
          <w:trHeight w:val="110"/>
        </w:trPr>
        <w:tc>
          <w:tcPr>
            <w:tcW w:w="9889" w:type="dxa"/>
          </w:tcPr>
          <w:p w:rsidR="00091953" w:rsidRPr="00CB5691" w:rsidRDefault="00CB5691" w:rsidP="00CB5691">
            <w:pPr>
              <w:keepNext/>
              <w:keepLines/>
              <w:numPr>
                <w:ilvl w:val="0"/>
                <w:numId w:val="46"/>
              </w:numPr>
              <w:spacing w:line="240" w:lineRule="auto"/>
              <w:rPr>
                <w:rFonts w:cstheme="minorHAnsi"/>
                <w:lang w:val="fr-BE"/>
              </w:rPr>
            </w:pPr>
            <w:r w:rsidRPr="00CB5691">
              <w:rPr>
                <w:rFonts w:cstheme="minorHAnsi"/>
                <w:lang w:val="fr-BE"/>
              </w:rPr>
              <w:t xml:space="preserve">Ne pas pouvoir arrêter un puissant inhibiteur ou inducteur </w:t>
            </w:r>
            <w:r w:rsidR="00091953" w:rsidRPr="00CB5691">
              <w:rPr>
                <w:rFonts w:cstheme="minorHAnsi"/>
                <w:lang w:val="fr-BE"/>
              </w:rPr>
              <w:t>CYP3A4</w:t>
            </w:r>
            <w:r>
              <w:rPr>
                <w:rFonts w:cstheme="minorHAnsi"/>
                <w:lang w:val="fr-BE"/>
              </w:rPr>
              <w:t xml:space="preserve"> avant le début du traitement</w:t>
            </w:r>
            <w:r w:rsidR="00091953" w:rsidRPr="00CB5691">
              <w:rPr>
                <w:rFonts w:cstheme="minorHAnsi"/>
                <w:lang w:val="fr-BE"/>
              </w:rPr>
              <w:t>.</w:t>
            </w:r>
          </w:p>
        </w:tc>
      </w:tr>
      <w:tr w:rsidR="00091953" w:rsidRPr="00091953" w:rsidTr="00B279BE">
        <w:trPr>
          <w:cantSplit/>
          <w:trHeight w:val="110"/>
        </w:trPr>
        <w:tc>
          <w:tcPr>
            <w:tcW w:w="9889" w:type="dxa"/>
          </w:tcPr>
          <w:p w:rsidR="00091953" w:rsidRPr="00FA03A3" w:rsidRDefault="00890C36" w:rsidP="00890C36">
            <w:pPr>
              <w:keepNext/>
              <w:keepLines/>
              <w:numPr>
                <w:ilvl w:val="0"/>
                <w:numId w:val="46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Grossesse ou allaitement</w:t>
            </w:r>
          </w:p>
        </w:tc>
      </w:tr>
    </w:tbl>
    <w:p w:rsidR="00B279BE" w:rsidRPr="00091953" w:rsidRDefault="00B279BE" w:rsidP="00B279BE">
      <w:pPr>
        <w:pStyle w:val="Geenafstand"/>
      </w:pPr>
    </w:p>
    <w:p w:rsidR="00762F6E" w:rsidRPr="00091953" w:rsidRDefault="00762F6E" w:rsidP="00356562">
      <w:pPr>
        <w:pStyle w:val="Geenafstand"/>
      </w:pPr>
    </w:p>
    <w:p w:rsidR="00356562" w:rsidRPr="00371BD9" w:rsidRDefault="00762F6E" w:rsidP="00C7322B">
      <w:pPr>
        <w:pStyle w:val="Kop2"/>
        <w:numPr>
          <w:ilvl w:val="0"/>
          <w:numId w:val="0"/>
        </w:numPr>
        <w:ind w:left="720" w:hanging="720"/>
      </w:pPr>
      <w:r w:rsidRPr="00371BD9">
        <w:t>SPECIALISATI</w:t>
      </w:r>
      <w:r w:rsidR="00371BD9" w:rsidRPr="00371BD9">
        <w:t>ON</w:t>
      </w:r>
      <w:r w:rsidRPr="00371BD9">
        <w:t xml:space="preserve"> </w:t>
      </w:r>
      <w:r w:rsidR="00371BD9" w:rsidRPr="00371BD9">
        <w:t>DU PRESCRIPTEUR</w:t>
      </w:r>
    </w:p>
    <w:p w:rsidR="000A0FC5" w:rsidRPr="00371BD9" w:rsidRDefault="00371BD9" w:rsidP="00E5583D">
      <w:pPr>
        <w:pStyle w:val="Geenafstand"/>
        <w:keepNext/>
        <w:spacing w:before="240" w:line="276" w:lineRule="auto"/>
        <w:ind w:left="567" w:right="567"/>
        <w:jc w:val="both"/>
        <w:rPr>
          <w:lang w:val="fr-BE"/>
        </w:rPr>
      </w:pPr>
      <w:r w:rsidRPr="00371BD9">
        <w:rPr>
          <w:b/>
          <w:lang w:val="fr-BE"/>
        </w:rPr>
        <w:t>spécialisation du prescripteur</w:t>
      </w:r>
      <w:r w:rsidR="00C7322B" w:rsidRPr="00371BD9">
        <w:rPr>
          <w:lang w:val="fr-BE"/>
        </w:rPr>
        <w:t>:</w:t>
      </w:r>
    </w:p>
    <w:p w:rsidR="00983F0F" w:rsidRPr="00D27EEA" w:rsidRDefault="00092E6C" w:rsidP="004E012A">
      <w:pPr>
        <w:pStyle w:val="Geenafstand"/>
        <w:ind w:left="567" w:right="567"/>
        <w:jc w:val="both"/>
        <w:rPr>
          <w:lang w:val="fr-BE"/>
        </w:rPr>
      </w:pPr>
      <w:r w:rsidRPr="00092E6C">
        <w:rPr>
          <w:lang w:val="fr-BE"/>
        </w:rPr>
        <w:t xml:space="preserve">Aucune spécialisation ou limitation du prescripteur n’est imposée </w:t>
      </w:r>
      <w:r w:rsidR="00D27EEA" w:rsidRPr="00092E6C">
        <w:rPr>
          <w:lang w:val="fr-BE"/>
        </w:rPr>
        <w:t xml:space="preserve">autre </w:t>
      </w:r>
      <w:r w:rsidRPr="00092E6C">
        <w:rPr>
          <w:lang w:val="fr-BE"/>
        </w:rPr>
        <w:t xml:space="preserve">que le médecin qui est autorisé à demander le CUP auprès de l’AFMPS. </w:t>
      </w:r>
    </w:p>
    <w:p w:rsidR="00597B4D" w:rsidRPr="00D27EEA" w:rsidRDefault="00597B4D" w:rsidP="004E012A">
      <w:pPr>
        <w:pStyle w:val="Geenafstand"/>
        <w:ind w:left="567" w:right="567"/>
        <w:jc w:val="both"/>
        <w:rPr>
          <w:lang w:val="fr-BE"/>
        </w:rPr>
      </w:pPr>
    </w:p>
    <w:p w:rsidR="00DA699E" w:rsidRPr="00DE148E" w:rsidRDefault="00371BD9" w:rsidP="00C7322B">
      <w:pPr>
        <w:pStyle w:val="Kop2"/>
        <w:numPr>
          <w:ilvl w:val="0"/>
          <w:numId w:val="0"/>
        </w:numPr>
        <w:ind w:left="720" w:hanging="720"/>
        <w:rPr>
          <w:lang w:val="nl-BE"/>
        </w:rPr>
      </w:pPr>
      <w:r>
        <w:rPr>
          <w:lang w:val="nl-BE"/>
        </w:rPr>
        <w:t>MONTANT DE L’INTERVENTION</w:t>
      </w:r>
    </w:p>
    <w:p w:rsidR="00F13569" w:rsidRPr="00D07969" w:rsidRDefault="00F13569" w:rsidP="00F13569">
      <w:pPr>
        <w:pStyle w:val="Geenafstand"/>
      </w:pPr>
    </w:p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F13569" w:rsidRPr="00A77546" w:rsidTr="005F0771">
        <w:tc>
          <w:tcPr>
            <w:tcW w:w="5070" w:type="dxa"/>
            <w:shd w:val="clear" w:color="auto" w:fill="FDE9D9" w:themeFill="accent6" w:themeFillTint="33"/>
          </w:tcPr>
          <w:p w:rsidR="005F0771" w:rsidRPr="00C04CDA" w:rsidRDefault="00597B4D" w:rsidP="004D579D">
            <w:pPr>
              <w:keepNext/>
              <w:jc w:val="both"/>
              <w:rPr>
                <w:rFonts w:ascii="Calibri" w:hAnsi="Calibri"/>
                <w:i/>
                <w:lang w:val="fr-BE"/>
              </w:rPr>
            </w:pPr>
            <w:r w:rsidRPr="00C04CDA">
              <w:rPr>
                <w:rFonts w:ascii="Calibri" w:hAnsi="Calibri"/>
                <w:i/>
                <w:lang w:val="fr-BE"/>
              </w:rPr>
              <w:t>Vitrakvi</w:t>
            </w:r>
            <w:r w:rsidR="005F0771" w:rsidRPr="00C04CDA">
              <w:rPr>
                <w:rFonts w:ascii="Calibri" w:hAnsi="Calibri"/>
                <w:i/>
                <w:lang w:val="fr-BE"/>
              </w:rPr>
              <w:t xml:space="preserve"> (</w:t>
            </w:r>
            <w:r w:rsidRPr="00C04CDA">
              <w:rPr>
                <w:rFonts w:ascii="Calibri" w:hAnsi="Calibri"/>
                <w:i/>
                <w:lang w:val="fr-BE"/>
              </w:rPr>
              <w:t>larotrectinib</w:t>
            </w:r>
            <w:r w:rsidR="005F0771" w:rsidRPr="00C04CDA">
              <w:rPr>
                <w:rFonts w:ascii="Calibri" w:hAnsi="Calibri"/>
                <w:i/>
                <w:lang w:val="fr-BE"/>
              </w:rPr>
              <w:t>)</w:t>
            </w:r>
          </w:p>
          <w:p w:rsidR="00597B4D" w:rsidRPr="00C04CDA" w:rsidRDefault="00D27EEA" w:rsidP="00597B4D">
            <w:pPr>
              <w:jc w:val="both"/>
              <w:rPr>
                <w:rFonts w:cstheme="minorHAnsi"/>
                <w:bCs/>
                <w:smallCaps/>
                <w:lang w:val="fr-BE"/>
              </w:rPr>
            </w:pPr>
            <w:r w:rsidRPr="00C04CDA">
              <w:rPr>
                <w:rFonts w:cstheme="minorHAnsi"/>
                <w:bCs/>
                <w:smallCaps/>
                <w:lang w:val="fr-BE"/>
              </w:rPr>
              <w:t xml:space="preserve">capsules </w:t>
            </w:r>
            <w:r w:rsidR="00597B4D" w:rsidRPr="00C04CDA">
              <w:rPr>
                <w:rFonts w:cstheme="minorHAnsi"/>
                <w:bCs/>
                <w:smallCaps/>
                <w:lang w:val="fr-BE"/>
              </w:rPr>
              <w:t xml:space="preserve">100 </w:t>
            </w:r>
            <w:r w:rsidRPr="00C04CDA">
              <w:rPr>
                <w:rFonts w:cstheme="minorHAnsi"/>
                <w:bCs/>
                <w:smallCaps/>
                <w:lang w:val="fr-BE"/>
              </w:rPr>
              <w:t xml:space="preserve">mg </w:t>
            </w:r>
          </w:p>
          <w:p w:rsidR="00597B4D" w:rsidRPr="00FA771F" w:rsidRDefault="00597B4D" w:rsidP="00597B4D">
            <w:pPr>
              <w:jc w:val="both"/>
              <w:rPr>
                <w:rFonts w:cstheme="minorHAnsi"/>
                <w:bCs/>
                <w:smallCaps/>
                <w:lang w:val="fr-BE"/>
              </w:rPr>
            </w:pPr>
            <w:r w:rsidRPr="00FA771F">
              <w:rPr>
                <w:rFonts w:cstheme="minorHAnsi"/>
                <w:bCs/>
                <w:smallCaps/>
                <w:lang w:val="fr-BE"/>
              </w:rPr>
              <w:t xml:space="preserve">capsules 25 mg </w:t>
            </w:r>
          </w:p>
          <w:p w:rsidR="00597B4D" w:rsidRPr="00D27EEA" w:rsidRDefault="00D27EEA" w:rsidP="00597B4D">
            <w:pPr>
              <w:jc w:val="both"/>
              <w:rPr>
                <w:rFonts w:cstheme="minorHAnsi"/>
                <w:lang w:val="fr-BE"/>
              </w:rPr>
            </w:pPr>
            <w:r w:rsidRPr="00D27EEA">
              <w:rPr>
                <w:rFonts w:cstheme="minorHAnsi"/>
                <w:bCs/>
                <w:smallCaps/>
                <w:lang w:val="fr-BE"/>
              </w:rPr>
              <w:t>Solution orale</w:t>
            </w:r>
            <w:r w:rsidR="00597B4D" w:rsidRPr="00D27EEA">
              <w:rPr>
                <w:rFonts w:cstheme="minorHAnsi"/>
                <w:bCs/>
                <w:smallCaps/>
                <w:lang w:val="fr-BE"/>
              </w:rPr>
              <w:t xml:space="preserve"> 100 ml (20 mg/ml)</w:t>
            </w:r>
          </w:p>
          <w:p w:rsidR="00F13569" w:rsidRPr="00D27EEA" w:rsidRDefault="00F13569" w:rsidP="00371BD9">
            <w:pPr>
              <w:keepNext/>
              <w:jc w:val="both"/>
              <w:rPr>
                <w:i/>
                <w:lang w:val="fr-BE"/>
              </w:rPr>
            </w:pPr>
          </w:p>
        </w:tc>
        <w:tc>
          <w:tcPr>
            <w:tcW w:w="4819" w:type="dxa"/>
            <w:shd w:val="clear" w:color="auto" w:fill="FDE9D9" w:themeFill="accent6" w:themeFillTint="33"/>
          </w:tcPr>
          <w:p w:rsidR="00F13569" w:rsidRPr="00956A55" w:rsidRDefault="00371BD9" w:rsidP="004D579D">
            <w:pPr>
              <w:keepNext/>
              <w:jc w:val="center"/>
            </w:pPr>
            <w:r>
              <w:rPr>
                <w:rFonts w:ascii="Calibri" w:hAnsi="Calibri"/>
              </w:rPr>
              <w:t>Montant de l’intervention</w:t>
            </w:r>
            <w:r w:rsidR="00F13569" w:rsidRPr="00956A55">
              <w:t xml:space="preserve"> (EURO)</w:t>
            </w:r>
          </w:p>
        </w:tc>
      </w:tr>
      <w:tr w:rsidR="00F13569" w:rsidRPr="00A77546" w:rsidTr="00F13569">
        <w:tc>
          <w:tcPr>
            <w:tcW w:w="5070" w:type="dxa"/>
          </w:tcPr>
          <w:p w:rsidR="00F13569" w:rsidRPr="007F20D5" w:rsidRDefault="00371BD9" w:rsidP="00371BD9">
            <w:pPr>
              <w:keepNext/>
              <w:jc w:val="both"/>
              <w:rPr>
                <w:lang w:val="fr-BE"/>
              </w:rPr>
            </w:pPr>
            <w:r w:rsidRPr="007F20D5">
              <w:rPr>
                <w:lang w:val="fr-BE"/>
              </w:rPr>
              <w:t xml:space="preserve">Intervention unique pour le CUP de cohorte mixte </w:t>
            </w:r>
          </w:p>
        </w:tc>
        <w:tc>
          <w:tcPr>
            <w:tcW w:w="4819" w:type="dxa"/>
          </w:tcPr>
          <w:p w:rsidR="00F13569" w:rsidRPr="00495856" w:rsidRDefault="00F13569" w:rsidP="004D579D">
            <w:pPr>
              <w:keepNext/>
              <w:jc w:val="center"/>
            </w:pPr>
            <w:r w:rsidRPr="00495856">
              <w:t>20.</w:t>
            </w:r>
            <w:r>
              <w:t>000</w:t>
            </w:r>
            <w:r w:rsidRPr="00495856">
              <w:t xml:space="preserve"> </w:t>
            </w:r>
            <w:r w:rsidRPr="00495856">
              <w:rPr>
                <w:rFonts w:ascii="Calibri" w:hAnsi="Calibri" w:cs="Calibri"/>
              </w:rPr>
              <w:t>€</w:t>
            </w:r>
          </w:p>
        </w:tc>
      </w:tr>
      <w:tr w:rsidR="00F13569" w:rsidRPr="00A77546" w:rsidTr="00F13569">
        <w:tc>
          <w:tcPr>
            <w:tcW w:w="5070" w:type="dxa"/>
          </w:tcPr>
          <w:p w:rsidR="00F13569" w:rsidRPr="003B17BE" w:rsidRDefault="00371BD9" w:rsidP="003B17BE">
            <w:pPr>
              <w:keepNext/>
              <w:jc w:val="both"/>
              <w:rPr>
                <w:lang w:val="fr-BE"/>
              </w:rPr>
            </w:pPr>
            <w:r w:rsidRPr="00371BD9">
              <w:rPr>
                <w:lang w:val="fr-BE"/>
              </w:rPr>
              <w:t xml:space="preserve">Intervention par patient par période de 12 mois de traitement </w:t>
            </w:r>
            <w:r w:rsidR="003B17BE">
              <w:rPr>
                <w:lang w:val="fr-BE"/>
              </w:rPr>
              <w:t>(à</w:t>
            </w:r>
            <w:r w:rsidRPr="003B17BE">
              <w:rPr>
                <w:lang w:val="fr-BE"/>
              </w:rPr>
              <w:t xml:space="preserve"> diminuer au prorata</w:t>
            </w:r>
            <w:r w:rsidR="003B17BE">
              <w:rPr>
                <w:lang w:val="fr-BE"/>
              </w:rPr>
              <w:t>)</w:t>
            </w:r>
          </w:p>
        </w:tc>
        <w:tc>
          <w:tcPr>
            <w:tcW w:w="4819" w:type="dxa"/>
          </w:tcPr>
          <w:p w:rsidR="00F13569" w:rsidRPr="00495856" w:rsidRDefault="00F13569" w:rsidP="004D579D">
            <w:pPr>
              <w:keepNext/>
              <w:jc w:val="center"/>
            </w:pPr>
            <w:r>
              <w:t>2.500</w:t>
            </w:r>
            <w:r w:rsidRPr="00495856">
              <w:t xml:space="preserve"> </w:t>
            </w:r>
            <w:r w:rsidRPr="00495856">
              <w:rPr>
                <w:rFonts w:ascii="Calibri" w:hAnsi="Calibri" w:cs="Calibri"/>
              </w:rPr>
              <w:t>€</w:t>
            </w:r>
          </w:p>
        </w:tc>
      </w:tr>
    </w:tbl>
    <w:p w:rsidR="00F13569" w:rsidRDefault="00F13569" w:rsidP="00F13569">
      <w:pPr>
        <w:pStyle w:val="Geenafstand"/>
        <w:ind w:left="1440" w:right="850"/>
        <w:jc w:val="both"/>
      </w:pPr>
    </w:p>
    <w:p w:rsidR="00D921A4" w:rsidRPr="00F97E58" w:rsidRDefault="00D921A4" w:rsidP="009F4943">
      <w:pPr>
        <w:pStyle w:val="Geenafstand"/>
        <w:spacing w:after="120"/>
        <w:rPr>
          <w:i/>
          <w:lang w:val="fr-BE"/>
        </w:rPr>
      </w:pPr>
    </w:p>
    <w:sectPr w:rsidR="00D921A4" w:rsidRPr="00F97E58" w:rsidSect="009015A3">
      <w:headerReference w:type="default" r:id="rId8"/>
      <w:footerReference w:type="default" r:id="rId9"/>
      <w:pgSz w:w="12240" w:h="15840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D3" w:rsidRDefault="000806D3">
      <w:pPr>
        <w:spacing w:line="240" w:lineRule="auto"/>
      </w:pPr>
      <w:r>
        <w:separator/>
      </w:r>
    </w:p>
  </w:endnote>
  <w:endnote w:type="continuationSeparator" w:id="0">
    <w:p w:rsidR="000806D3" w:rsidRDefault="00080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161528"/>
      <w:docPartObj>
        <w:docPartGallery w:val="Page Numbers (Bottom of Page)"/>
        <w:docPartUnique/>
      </w:docPartObj>
    </w:sdtPr>
    <w:sdtEndPr/>
    <w:sdtContent>
      <w:p w:rsidR="000806D3" w:rsidRDefault="000806D3">
        <w:pPr>
          <w:pStyle w:val="Voettekst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97"/>
          <w:gridCol w:w="8975"/>
        </w:tblGrid>
        <w:tr w:rsidR="000806D3" w:rsidRPr="00FA771F" w:rsidTr="009015A3">
          <w:tc>
            <w:tcPr>
              <w:tcW w:w="500" w:type="pct"/>
              <w:tcBorders>
                <w:top w:val="single" w:sz="4" w:space="0" w:color="943634" w:themeColor="accent2" w:themeShade="BF"/>
              </w:tcBorders>
              <w:shd w:val="clear" w:color="auto" w:fill="943634" w:themeFill="accent2" w:themeFillShade="BF"/>
            </w:tcPr>
            <w:p w:rsidR="000806D3" w:rsidRPr="00F16A8E" w:rsidRDefault="000806D3" w:rsidP="009015A3">
              <w:pPr>
                <w:tabs>
                  <w:tab w:val="center" w:pos="4680"/>
                  <w:tab w:val="right" w:pos="9360"/>
                </w:tabs>
                <w:spacing w:line="240" w:lineRule="auto"/>
                <w:jc w:val="right"/>
                <w:rPr>
                  <w:b/>
                  <w:bCs/>
                  <w:color w:val="FFFFFF" w:themeColor="background1"/>
                </w:rPr>
              </w:pPr>
              <w:r w:rsidRPr="00F16A8E">
                <w:fldChar w:fldCharType="begin"/>
              </w:r>
              <w:r w:rsidRPr="00F16A8E">
                <w:instrText>PAGE   \* MERGEFORMAT</w:instrText>
              </w:r>
              <w:r w:rsidRPr="00F16A8E">
                <w:fldChar w:fldCharType="separate"/>
              </w:r>
              <w:r w:rsidR="003174A2" w:rsidRPr="003174A2">
                <w:rPr>
                  <w:noProof/>
                  <w:color w:val="FFFFFF" w:themeColor="background1"/>
                  <w:lang w:val="nl-NL"/>
                </w:rPr>
                <w:t>1</w:t>
              </w:r>
              <w:r w:rsidRPr="00F16A8E">
                <w:rPr>
                  <w:color w:val="FFFFFF" w:themeColor="background1"/>
                </w:rPr>
                <w:fldChar w:fldCharType="end"/>
              </w:r>
            </w:p>
          </w:tc>
          <w:tc>
            <w:tcPr>
              <w:tcW w:w="4500" w:type="pct"/>
              <w:tcBorders>
                <w:top w:val="single" w:sz="4" w:space="0" w:color="auto"/>
              </w:tcBorders>
            </w:tcPr>
            <w:p w:rsidR="000806D3" w:rsidRPr="007F20D5" w:rsidRDefault="000806D3" w:rsidP="009015A3">
              <w:pPr>
                <w:pStyle w:val="Voettekst"/>
                <w:tabs>
                  <w:tab w:val="right" w:pos="10065"/>
                </w:tabs>
                <w:rPr>
                  <w:lang w:val="fr-BE"/>
                </w:rPr>
              </w:pPr>
              <w:r w:rsidRPr="007F20D5">
                <w:rPr>
                  <w:lang w:val="fr-BE"/>
                </w:rPr>
                <w:t>Décision de cohorte “105</w:t>
              </w:r>
              <w:r w:rsidR="00597B4D">
                <w:rPr>
                  <w:lang w:val="fr-BE"/>
                </w:rPr>
                <w:t>6</w:t>
              </w:r>
              <w:r w:rsidRPr="007F20D5">
                <w:rPr>
                  <w:lang w:val="fr-BE"/>
                </w:rPr>
                <w:t>” “</w:t>
              </w:r>
              <w:r w:rsidR="00597B4D">
                <w:rPr>
                  <w:lang w:val="fr-BE"/>
                </w:rPr>
                <w:t>VITRAKVI</w:t>
              </w:r>
              <w:r w:rsidRPr="007F20D5">
                <w:rPr>
                  <w:lang w:val="fr-BE"/>
                </w:rPr>
                <w:t>” |</w:t>
              </w:r>
            </w:p>
            <w:p w:rsidR="000806D3" w:rsidRPr="007F20D5" w:rsidRDefault="003174A2" w:rsidP="009015A3">
              <w:pPr>
                <w:pStyle w:val="Voettekst"/>
                <w:tabs>
                  <w:tab w:val="right" w:pos="10065"/>
                </w:tabs>
                <w:rPr>
                  <w:rFonts w:ascii="Arial" w:hAnsi="Arial"/>
                  <w:color w:val="808080"/>
                  <w:sz w:val="16"/>
                  <w:lang w:val="fr-BE"/>
                </w:rPr>
              </w:pPr>
              <w:sdt>
                <w:sdtPr>
                  <w:rPr>
                    <w:lang w:val="fr-BE"/>
                  </w:rPr>
                  <w:alias w:val="Bedrijf"/>
                  <w:id w:val="2092194638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r w:rsidR="000806D3" w:rsidRPr="007F20D5">
                    <w:rPr>
                      <w:lang w:val="fr-BE"/>
                    </w:rPr>
                    <w:t>R.I.Z.I.V. - I.N.A.M.I.</w:t>
                  </w:r>
                </w:sdtContent>
              </w:sdt>
            </w:p>
          </w:tc>
        </w:tr>
      </w:tbl>
      <w:p w:rsidR="000806D3" w:rsidRDefault="003174A2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D3" w:rsidRDefault="000806D3">
      <w:pPr>
        <w:spacing w:line="240" w:lineRule="auto"/>
      </w:pPr>
      <w:r>
        <w:separator/>
      </w:r>
    </w:p>
  </w:footnote>
  <w:footnote w:type="continuationSeparator" w:id="0">
    <w:p w:rsidR="000806D3" w:rsidRDefault="00080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D3" w:rsidRPr="00C07F11" w:rsidRDefault="000806D3" w:rsidP="00C07F11">
    <w:pPr>
      <w:pStyle w:val="Koptekst"/>
      <w:tabs>
        <w:tab w:val="clear" w:pos="4680"/>
        <w:tab w:val="clear" w:pos="9360"/>
        <w:tab w:val="left" w:pos="2955"/>
      </w:tabs>
      <w:rPr>
        <w:color w:val="808080" w:themeColor="background1" w:themeShade="80"/>
        <w:sz w:val="18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490E76"/>
    <w:multiLevelType w:val="hybridMultilevel"/>
    <w:tmpl w:val="3F2AB682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F03D3D"/>
    <w:multiLevelType w:val="hybridMultilevel"/>
    <w:tmpl w:val="2FD43D24"/>
    <w:lvl w:ilvl="0" w:tplc="CDF4B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02A7A"/>
    <w:multiLevelType w:val="hybridMultilevel"/>
    <w:tmpl w:val="994687D4"/>
    <w:lvl w:ilvl="0" w:tplc="A99AE7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174F3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6349E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4563"/>
    <w:multiLevelType w:val="hybridMultilevel"/>
    <w:tmpl w:val="68A4C4BE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CB0A42"/>
    <w:multiLevelType w:val="hybridMultilevel"/>
    <w:tmpl w:val="6F628FE2"/>
    <w:lvl w:ilvl="0" w:tplc="CDF4B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6A20"/>
    <w:multiLevelType w:val="hybridMultilevel"/>
    <w:tmpl w:val="4D2267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30019">
      <w:start w:val="1"/>
      <w:numFmt w:val="lowerLetter"/>
      <w:lvlText w:val="%2."/>
      <w:lvlJc w:val="left"/>
      <w:pPr>
        <w:ind w:left="1211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6270"/>
    <w:multiLevelType w:val="hybridMultilevel"/>
    <w:tmpl w:val="3D10DA56"/>
    <w:lvl w:ilvl="0" w:tplc="D604FBF4">
      <w:start w:val="1"/>
      <w:numFmt w:val="decimal"/>
      <w:lvlText w:val="%1."/>
      <w:lvlJc w:val="left"/>
      <w:pPr>
        <w:ind w:left="855" w:hanging="495"/>
      </w:pPr>
      <w:rPr>
        <w:rFonts w:ascii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3372"/>
    <w:multiLevelType w:val="hybridMultilevel"/>
    <w:tmpl w:val="FED2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2984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9721A"/>
    <w:multiLevelType w:val="hybridMultilevel"/>
    <w:tmpl w:val="5C3E1A04"/>
    <w:lvl w:ilvl="0" w:tplc="CDF4B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A20264"/>
    <w:multiLevelType w:val="hybridMultilevel"/>
    <w:tmpl w:val="E3D888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42742"/>
    <w:multiLevelType w:val="singleLevel"/>
    <w:tmpl w:val="A93AB558"/>
    <w:lvl w:ilvl="0">
      <w:start w:val="3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abstractNum w:abstractNumId="16" w15:restartNumberingAfterBreak="0">
    <w:nsid w:val="32EC53DB"/>
    <w:multiLevelType w:val="hybridMultilevel"/>
    <w:tmpl w:val="A5A63C62"/>
    <w:lvl w:ilvl="0" w:tplc="CDF4B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F4B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73E59"/>
    <w:multiLevelType w:val="hybridMultilevel"/>
    <w:tmpl w:val="51EEA096"/>
    <w:lvl w:ilvl="0" w:tplc="0FB4C5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4EC1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634A"/>
    <w:multiLevelType w:val="hybridMultilevel"/>
    <w:tmpl w:val="7258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48E9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44D8F"/>
    <w:multiLevelType w:val="hybridMultilevel"/>
    <w:tmpl w:val="C0DE8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9A69FB"/>
    <w:multiLevelType w:val="hybridMultilevel"/>
    <w:tmpl w:val="0B64679C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DD0DE5"/>
    <w:multiLevelType w:val="hybridMultilevel"/>
    <w:tmpl w:val="699AAED4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FB4676"/>
    <w:multiLevelType w:val="hybridMultilevel"/>
    <w:tmpl w:val="98C676F2"/>
    <w:lvl w:ilvl="0" w:tplc="AA0AB1A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7B1051"/>
    <w:multiLevelType w:val="hybridMultilevel"/>
    <w:tmpl w:val="6EAAE5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EB52676A">
      <w:start w:val="1"/>
      <w:numFmt w:val="lowerLetter"/>
      <w:lvlText w:val="%2."/>
      <w:lvlJc w:val="left"/>
      <w:pPr>
        <w:ind w:left="1211" w:hanging="360"/>
      </w:pPr>
      <w:rPr>
        <w:sz w:val="20"/>
        <w:szCs w:val="2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E0AED"/>
    <w:multiLevelType w:val="hybridMultilevel"/>
    <w:tmpl w:val="AFDC1F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CC026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75A48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505F4"/>
    <w:multiLevelType w:val="hybridMultilevel"/>
    <w:tmpl w:val="FE1053E0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CC613A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5147A"/>
    <w:multiLevelType w:val="hybridMultilevel"/>
    <w:tmpl w:val="96C8FF0A"/>
    <w:lvl w:ilvl="0" w:tplc="BA18A6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46180"/>
    <w:multiLevelType w:val="hybridMultilevel"/>
    <w:tmpl w:val="8738F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3FF2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46040"/>
    <w:multiLevelType w:val="hybridMultilevel"/>
    <w:tmpl w:val="6094829A"/>
    <w:lvl w:ilvl="0" w:tplc="3E8CD1F2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0150A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42EC"/>
    <w:multiLevelType w:val="hybridMultilevel"/>
    <w:tmpl w:val="7B2E2D68"/>
    <w:lvl w:ilvl="0" w:tplc="022A480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265880"/>
    <w:multiLevelType w:val="hybridMultilevel"/>
    <w:tmpl w:val="FAC625F0"/>
    <w:lvl w:ilvl="0" w:tplc="CDF4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804AA"/>
    <w:multiLevelType w:val="multilevel"/>
    <w:tmpl w:val="63E01A2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83309A"/>
    <w:multiLevelType w:val="hybridMultilevel"/>
    <w:tmpl w:val="C0DE8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853FD4"/>
    <w:multiLevelType w:val="hybridMultilevel"/>
    <w:tmpl w:val="4D2267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30019">
      <w:start w:val="1"/>
      <w:numFmt w:val="lowerLetter"/>
      <w:lvlText w:val="%2."/>
      <w:lvlJc w:val="left"/>
      <w:pPr>
        <w:ind w:left="1211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10"/>
  </w:num>
  <w:num w:numId="4">
    <w:abstractNumId w:val="29"/>
  </w:num>
  <w:num w:numId="5">
    <w:abstractNumId w:val="11"/>
  </w:num>
  <w:num w:numId="6">
    <w:abstractNumId w:val="30"/>
  </w:num>
  <w:num w:numId="7">
    <w:abstractNumId w:val="36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0"/>
  </w:num>
  <w:num w:numId="13">
    <w:abstractNumId w:val="1"/>
  </w:num>
  <w:num w:numId="14">
    <w:abstractNumId w:val="10"/>
  </w:num>
  <w:num w:numId="15">
    <w:abstractNumId w:val="26"/>
  </w:num>
  <w:num w:numId="16">
    <w:abstractNumId w:val="12"/>
  </w:num>
  <w:num w:numId="17">
    <w:abstractNumId w:val="5"/>
  </w:num>
  <w:num w:numId="18">
    <w:abstractNumId w:val="6"/>
  </w:num>
  <w:num w:numId="19">
    <w:abstractNumId w:val="31"/>
  </w:num>
  <w:num w:numId="20">
    <w:abstractNumId w:val="33"/>
  </w:num>
  <w:num w:numId="21">
    <w:abstractNumId w:val="18"/>
  </w:num>
  <w:num w:numId="22">
    <w:abstractNumId w:val="2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20"/>
  </w:num>
  <w:num w:numId="28">
    <w:abstractNumId w:val="2"/>
  </w:num>
  <w:num w:numId="29">
    <w:abstractNumId w:val="35"/>
  </w:num>
  <w:num w:numId="30">
    <w:abstractNumId w:val="22"/>
  </w:num>
  <w:num w:numId="31">
    <w:abstractNumId w:val="21"/>
  </w:num>
  <w:num w:numId="32">
    <w:abstractNumId w:val="27"/>
  </w:num>
  <w:num w:numId="33">
    <w:abstractNumId w:val="23"/>
  </w:num>
  <w:num w:numId="34">
    <w:abstractNumId w:val="8"/>
  </w:num>
  <w:num w:numId="35">
    <w:abstractNumId w:val="3"/>
  </w:num>
  <w:num w:numId="36">
    <w:abstractNumId w:val="16"/>
  </w:num>
  <w:num w:numId="37">
    <w:abstractNumId w:val="9"/>
  </w:num>
  <w:num w:numId="38">
    <w:abstractNumId w:val="38"/>
  </w:num>
  <w:num w:numId="39">
    <w:abstractNumId w:val="13"/>
  </w:num>
  <w:num w:numId="40">
    <w:abstractNumId w:val="7"/>
  </w:num>
  <w:num w:numId="41">
    <w:abstractNumId w:val="17"/>
  </w:num>
  <w:num w:numId="42">
    <w:abstractNumId w:val="1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08"/>
    <w:rsid w:val="000159DC"/>
    <w:rsid w:val="000338B8"/>
    <w:rsid w:val="00062693"/>
    <w:rsid w:val="000629B2"/>
    <w:rsid w:val="00063E15"/>
    <w:rsid w:val="00065731"/>
    <w:rsid w:val="0007768F"/>
    <w:rsid w:val="000806D3"/>
    <w:rsid w:val="0008254D"/>
    <w:rsid w:val="000835B6"/>
    <w:rsid w:val="00091953"/>
    <w:rsid w:val="00092E6C"/>
    <w:rsid w:val="000A0FC5"/>
    <w:rsid w:val="000A11CD"/>
    <w:rsid w:val="000A30BD"/>
    <w:rsid w:val="000A53D5"/>
    <w:rsid w:val="000A707F"/>
    <w:rsid w:val="000B2400"/>
    <w:rsid w:val="000B2C6F"/>
    <w:rsid w:val="000B3867"/>
    <w:rsid w:val="000E11E7"/>
    <w:rsid w:val="000F492D"/>
    <w:rsid w:val="000F73D3"/>
    <w:rsid w:val="001248A9"/>
    <w:rsid w:val="00130CE0"/>
    <w:rsid w:val="00154C07"/>
    <w:rsid w:val="00156A81"/>
    <w:rsid w:val="00157401"/>
    <w:rsid w:val="0016155A"/>
    <w:rsid w:val="001701C8"/>
    <w:rsid w:val="001917D7"/>
    <w:rsid w:val="001964E8"/>
    <w:rsid w:val="00196E33"/>
    <w:rsid w:val="001A0B9A"/>
    <w:rsid w:val="001A7162"/>
    <w:rsid w:val="001D1E45"/>
    <w:rsid w:val="001E69C3"/>
    <w:rsid w:val="002116E3"/>
    <w:rsid w:val="00247747"/>
    <w:rsid w:val="0025335C"/>
    <w:rsid w:val="0025761F"/>
    <w:rsid w:val="00286283"/>
    <w:rsid w:val="002B404C"/>
    <w:rsid w:val="002C3AB0"/>
    <w:rsid w:val="002D3C8A"/>
    <w:rsid w:val="002D4224"/>
    <w:rsid w:val="002D4698"/>
    <w:rsid w:val="002E1D0C"/>
    <w:rsid w:val="002E2C90"/>
    <w:rsid w:val="002F1B57"/>
    <w:rsid w:val="003001FB"/>
    <w:rsid w:val="003150F6"/>
    <w:rsid w:val="003174A2"/>
    <w:rsid w:val="00332D29"/>
    <w:rsid w:val="00342E6F"/>
    <w:rsid w:val="00356562"/>
    <w:rsid w:val="00371BD9"/>
    <w:rsid w:val="00383280"/>
    <w:rsid w:val="003A45E5"/>
    <w:rsid w:val="003B17BE"/>
    <w:rsid w:val="003B522F"/>
    <w:rsid w:val="003E4048"/>
    <w:rsid w:val="00435297"/>
    <w:rsid w:val="00484CF8"/>
    <w:rsid w:val="00495856"/>
    <w:rsid w:val="004D5397"/>
    <w:rsid w:val="004D579D"/>
    <w:rsid w:val="004E012A"/>
    <w:rsid w:val="004E4D7B"/>
    <w:rsid w:val="004F4AE7"/>
    <w:rsid w:val="0051242B"/>
    <w:rsid w:val="00513796"/>
    <w:rsid w:val="00526A31"/>
    <w:rsid w:val="00526C19"/>
    <w:rsid w:val="005278F8"/>
    <w:rsid w:val="00545179"/>
    <w:rsid w:val="0055260A"/>
    <w:rsid w:val="005645D4"/>
    <w:rsid w:val="00576B4B"/>
    <w:rsid w:val="00590185"/>
    <w:rsid w:val="00597B4D"/>
    <w:rsid w:val="005A0E60"/>
    <w:rsid w:val="005B31E1"/>
    <w:rsid w:val="005D5FD3"/>
    <w:rsid w:val="005F0771"/>
    <w:rsid w:val="005F3F94"/>
    <w:rsid w:val="006220D9"/>
    <w:rsid w:val="00626273"/>
    <w:rsid w:val="006332E8"/>
    <w:rsid w:val="00643CD7"/>
    <w:rsid w:val="00647EFC"/>
    <w:rsid w:val="00662346"/>
    <w:rsid w:val="00685C61"/>
    <w:rsid w:val="006B3E3E"/>
    <w:rsid w:val="006D1B3F"/>
    <w:rsid w:val="006F13EA"/>
    <w:rsid w:val="006F2208"/>
    <w:rsid w:val="006F275B"/>
    <w:rsid w:val="00716EE3"/>
    <w:rsid w:val="00721FF8"/>
    <w:rsid w:val="00762F6E"/>
    <w:rsid w:val="007657E1"/>
    <w:rsid w:val="00785D88"/>
    <w:rsid w:val="0079329C"/>
    <w:rsid w:val="007A40FF"/>
    <w:rsid w:val="007A4169"/>
    <w:rsid w:val="007A433E"/>
    <w:rsid w:val="007B6319"/>
    <w:rsid w:val="007C0283"/>
    <w:rsid w:val="007C7AF4"/>
    <w:rsid w:val="007E1F0C"/>
    <w:rsid w:val="007F0B03"/>
    <w:rsid w:val="007F20D5"/>
    <w:rsid w:val="0080397B"/>
    <w:rsid w:val="008176D4"/>
    <w:rsid w:val="008621EF"/>
    <w:rsid w:val="00890C36"/>
    <w:rsid w:val="008B4DF3"/>
    <w:rsid w:val="008B77F9"/>
    <w:rsid w:val="008E014C"/>
    <w:rsid w:val="008E4811"/>
    <w:rsid w:val="008F68D9"/>
    <w:rsid w:val="008F7317"/>
    <w:rsid w:val="00900365"/>
    <w:rsid w:val="009015A3"/>
    <w:rsid w:val="00903A23"/>
    <w:rsid w:val="00907EF7"/>
    <w:rsid w:val="00913041"/>
    <w:rsid w:val="009349BB"/>
    <w:rsid w:val="00946CF9"/>
    <w:rsid w:val="00956A55"/>
    <w:rsid w:val="009631B8"/>
    <w:rsid w:val="00963CBA"/>
    <w:rsid w:val="00983F0F"/>
    <w:rsid w:val="00985D56"/>
    <w:rsid w:val="00992CC2"/>
    <w:rsid w:val="009A0E8E"/>
    <w:rsid w:val="009A4D31"/>
    <w:rsid w:val="009A5122"/>
    <w:rsid w:val="009A524C"/>
    <w:rsid w:val="009B27B5"/>
    <w:rsid w:val="009C6B66"/>
    <w:rsid w:val="009D7351"/>
    <w:rsid w:val="009D768F"/>
    <w:rsid w:val="009E00F7"/>
    <w:rsid w:val="009E6E62"/>
    <w:rsid w:val="009F4943"/>
    <w:rsid w:val="009F52F0"/>
    <w:rsid w:val="00A03F14"/>
    <w:rsid w:val="00A15833"/>
    <w:rsid w:val="00A318CF"/>
    <w:rsid w:val="00A31B1F"/>
    <w:rsid w:val="00A34C81"/>
    <w:rsid w:val="00A466B2"/>
    <w:rsid w:val="00A51CF4"/>
    <w:rsid w:val="00A6017B"/>
    <w:rsid w:val="00A84435"/>
    <w:rsid w:val="00AA21E3"/>
    <w:rsid w:val="00AA2A12"/>
    <w:rsid w:val="00AA3F3C"/>
    <w:rsid w:val="00AA506F"/>
    <w:rsid w:val="00AC280E"/>
    <w:rsid w:val="00AC6E2D"/>
    <w:rsid w:val="00AD652A"/>
    <w:rsid w:val="00B21831"/>
    <w:rsid w:val="00B279BE"/>
    <w:rsid w:val="00B30994"/>
    <w:rsid w:val="00B43103"/>
    <w:rsid w:val="00B66DDE"/>
    <w:rsid w:val="00B66FF6"/>
    <w:rsid w:val="00B76C23"/>
    <w:rsid w:val="00B7737C"/>
    <w:rsid w:val="00B800D4"/>
    <w:rsid w:val="00B92E69"/>
    <w:rsid w:val="00B9703F"/>
    <w:rsid w:val="00BA5A57"/>
    <w:rsid w:val="00BA6BEE"/>
    <w:rsid w:val="00BB10A4"/>
    <w:rsid w:val="00BD030C"/>
    <w:rsid w:val="00BD2BA0"/>
    <w:rsid w:val="00C00C4B"/>
    <w:rsid w:val="00C04771"/>
    <w:rsid w:val="00C04CDA"/>
    <w:rsid w:val="00C07F11"/>
    <w:rsid w:val="00C26C80"/>
    <w:rsid w:val="00C55965"/>
    <w:rsid w:val="00C7322B"/>
    <w:rsid w:val="00C733B2"/>
    <w:rsid w:val="00C9350D"/>
    <w:rsid w:val="00C93689"/>
    <w:rsid w:val="00CB5691"/>
    <w:rsid w:val="00CC440C"/>
    <w:rsid w:val="00CC72D3"/>
    <w:rsid w:val="00CF5477"/>
    <w:rsid w:val="00CF6826"/>
    <w:rsid w:val="00D07969"/>
    <w:rsid w:val="00D13724"/>
    <w:rsid w:val="00D27EEA"/>
    <w:rsid w:val="00D44E25"/>
    <w:rsid w:val="00D63C1F"/>
    <w:rsid w:val="00D6580B"/>
    <w:rsid w:val="00D65CDD"/>
    <w:rsid w:val="00D70C89"/>
    <w:rsid w:val="00D921A4"/>
    <w:rsid w:val="00D95D7D"/>
    <w:rsid w:val="00DA699E"/>
    <w:rsid w:val="00DB4D7C"/>
    <w:rsid w:val="00DB6125"/>
    <w:rsid w:val="00DD4323"/>
    <w:rsid w:val="00DE148E"/>
    <w:rsid w:val="00DE68D3"/>
    <w:rsid w:val="00E00673"/>
    <w:rsid w:val="00E1268F"/>
    <w:rsid w:val="00E1498F"/>
    <w:rsid w:val="00E1560E"/>
    <w:rsid w:val="00E22665"/>
    <w:rsid w:val="00E25468"/>
    <w:rsid w:val="00E3732F"/>
    <w:rsid w:val="00E5583D"/>
    <w:rsid w:val="00E609F1"/>
    <w:rsid w:val="00E6688C"/>
    <w:rsid w:val="00E70906"/>
    <w:rsid w:val="00E81EDA"/>
    <w:rsid w:val="00E875AE"/>
    <w:rsid w:val="00E90728"/>
    <w:rsid w:val="00E94E1D"/>
    <w:rsid w:val="00E97B7A"/>
    <w:rsid w:val="00ED4CF3"/>
    <w:rsid w:val="00EE15BE"/>
    <w:rsid w:val="00EE3F69"/>
    <w:rsid w:val="00EF03FB"/>
    <w:rsid w:val="00EF1441"/>
    <w:rsid w:val="00F13569"/>
    <w:rsid w:val="00F26396"/>
    <w:rsid w:val="00F37C48"/>
    <w:rsid w:val="00F459C1"/>
    <w:rsid w:val="00F50950"/>
    <w:rsid w:val="00F52B17"/>
    <w:rsid w:val="00F72687"/>
    <w:rsid w:val="00F73517"/>
    <w:rsid w:val="00F85994"/>
    <w:rsid w:val="00F8664A"/>
    <w:rsid w:val="00F906B0"/>
    <w:rsid w:val="00F929E9"/>
    <w:rsid w:val="00F95ACB"/>
    <w:rsid w:val="00F97E58"/>
    <w:rsid w:val="00FA0629"/>
    <w:rsid w:val="00FA771F"/>
    <w:rsid w:val="00FB6241"/>
    <w:rsid w:val="00FC6706"/>
    <w:rsid w:val="00FC6F5F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C4B9D-1A8A-42C1-A9D6-21976DD1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 tekst"/>
    <w:next w:val="Geenafstand"/>
    <w:qFormat/>
    <w:rsid w:val="009015A3"/>
    <w:pPr>
      <w:spacing w:after="0"/>
    </w:pPr>
    <w:rPr>
      <w:rFonts w:eastAsiaTheme="minorEastAsia"/>
      <w:sz w:val="20"/>
      <w:szCs w:val="20"/>
      <w:lang w:val="nl-B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84CF8"/>
    <w:pPr>
      <w:keepNext/>
      <w:numPr>
        <w:numId w:val="1"/>
      </w:numPr>
      <w:pBdr>
        <w:top w:val="single" w:sz="24" w:space="0" w:color="8DB3E2" w:themeColor="text2" w:themeTint="66"/>
        <w:left w:val="single" w:sz="24" w:space="0" w:color="8DB3E2" w:themeColor="text2" w:themeTint="66"/>
        <w:bottom w:val="single" w:sz="24" w:space="0" w:color="8DB3E2" w:themeColor="text2" w:themeTint="66"/>
        <w:right w:val="single" w:sz="24" w:space="0" w:color="8DB3E2" w:themeColor="text2" w:themeTint="66"/>
      </w:pBdr>
      <w:shd w:val="clear" w:color="auto" w:fill="8DB3E2" w:themeFill="text2" w:themeFillTint="66"/>
      <w:ind w:left="357" w:hanging="357"/>
      <w:jc w:val="both"/>
      <w:outlineLvl w:val="0"/>
    </w:pPr>
    <w:rPr>
      <w:rFonts w:eastAsiaTheme="minorHAnsi"/>
      <w:b/>
      <w:bCs/>
      <w:caps/>
      <w:color w:val="FFFFFF" w:themeColor="background1"/>
      <w:spacing w:val="40"/>
      <w:sz w:val="24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84CF8"/>
    <w:pPr>
      <w:keepNext/>
      <w:numPr>
        <w:ilvl w:val="1"/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eastAsiaTheme="minorHAnsi"/>
      <w:b/>
      <w:caps/>
      <w:color w:val="365F91" w:themeColor="accent1" w:themeShade="BF"/>
      <w:spacing w:val="15"/>
      <w:szCs w:val="24"/>
      <w:lang w:val="fr-BE"/>
    </w:rPr>
  </w:style>
  <w:style w:type="paragraph" w:styleId="Kop3">
    <w:name w:val="heading 3"/>
    <w:basedOn w:val="Kop2"/>
    <w:next w:val="Standaard"/>
    <w:link w:val="Kop3Char"/>
    <w:autoRedefine/>
    <w:uiPriority w:val="9"/>
    <w:unhideWhenUsed/>
    <w:qFormat/>
    <w:rsid w:val="009015A3"/>
    <w:pPr>
      <w:numPr>
        <w:ilvl w:val="2"/>
      </w:numPr>
      <w:pBdr>
        <w:top w:val="single" w:sz="6" w:space="2" w:color="4F81BD" w:themeColor="accent1"/>
        <w:left w:val="single" w:sz="6" w:space="2" w:color="4F81BD" w:themeColor="accent1"/>
      </w:pBdr>
      <w:outlineLvl w:val="2"/>
    </w:pPr>
    <w:rPr>
      <w:caps w:val="0"/>
      <w:color w:val="243F60" w:themeColor="accent1" w:themeShade="7F"/>
    </w:rPr>
  </w:style>
  <w:style w:type="paragraph" w:styleId="Kop4">
    <w:name w:val="heading 4"/>
    <w:basedOn w:val="Kop3"/>
    <w:next w:val="Standaard"/>
    <w:link w:val="Kop4Char"/>
    <w:autoRedefine/>
    <w:uiPriority w:val="9"/>
    <w:unhideWhenUsed/>
    <w:qFormat/>
    <w:rsid w:val="009015A3"/>
    <w:pPr>
      <w:numPr>
        <w:ilvl w:val="3"/>
      </w:numPr>
      <w:pBdr>
        <w:top w:val="dotted" w:sz="6" w:space="2" w:color="4F81BD" w:themeColor="accent1"/>
        <w:left w:val="dotted" w:sz="6" w:space="2" w:color="4F81BD" w:themeColor="accent1"/>
      </w:pBdr>
      <w:spacing w:before="240"/>
      <w:ind w:left="1077" w:hanging="1077"/>
      <w:outlineLvl w:val="3"/>
    </w:pPr>
    <w:rPr>
      <w:b w:val="0"/>
      <w:caps/>
      <w:color w:val="365F91" w:themeColor="accent1" w:themeShade="BF"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4CF8"/>
    <w:rPr>
      <w:b/>
      <w:bCs/>
      <w:caps/>
      <w:color w:val="FFFFFF" w:themeColor="background1"/>
      <w:spacing w:val="40"/>
      <w:sz w:val="24"/>
      <w:shd w:val="clear" w:color="auto" w:fill="8DB3E2" w:themeFill="text2" w:themeFillTint="66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484CF8"/>
    <w:rPr>
      <w:b/>
      <w:caps/>
      <w:color w:val="365F91" w:themeColor="accent1" w:themeShade="BF"/>
      <w:spacing w:val="15"/>
      <w:sz w:val="20"/>
      <w:szCs w:val="24"/>
      <w:shd w:val="clear" w:color="auto" w:fill="DBE5F1" w:themeFill="accent1" w:themeFillTint="33"/>
      <w:lang w:val="fr-BE"/>
    </w:rPr>
  </w:style>
  <w:style w:type="character" w:customStyle="1" w:styleId="Kop3Char">
    <w:name w:val="Kop 3 Char"/>
    <w:basedOn w:val="Standaardalinea-lettertype"/>
    <w:link w:val="Kop3"/>
    <w:uiPriority w:val="9"/>
    <w:rsid w:val="009015A3"/>
    <w:rPr>
      <w:b/>
      <w:color w:val="243F60" w:themeColor="accent1" w:themeShade="7F"/>
      <w:spacing w:val="15"/>
      <w:sz w:val="24"/>
      <w:szCs w:val="24"/>
      <w:shd w:val="clear" w:color="auto" w:fill="DBE5F1" w:themeFill="accent1" w:themeFillTint="33"/>
      <w:lang w:val="fr-BE"/>
    </w:rPr>
  </w:style>
  <w:style w:type="character" w:customStyle="1" w:styleId="Kop4Char">
    <w:name w:val="Kop 4 Char"/>
    <w:basedOn w:val="Standaardalinea-lettertype"/>
    <w:link w:val="Kop4"/>
    <w:uiPriority w:val="9"/>
    <w:rsid w:val="009015A3"/>
    <w:rPr>
      <w:caps/>
      <w:color w:val="365F91" w:themeColor="accent1" w:themeShade="BF"/>
      <w:spacing w:val="10"/>
      <w:sz w:val="24"/>
      <w:szCs w:val="24"/>
      <w:shd w:val="clear" w:color="auto" w:fill="DBE5F1" w:themeFill="accent1" w:themeFillTint="33"/>
      <w:lang w:val="fr-BE"/>
    </w:rPr>
  </w:style>
  <w:style w:type="character" w:styleId="Titelvanboek">
    <w:name w:val="Book Title"/>
    <w:aliases w:val="Titel 2"/>
    <w:basedOn w:val="Subtielebenadrukking"/>
    <w:uiPriority w:val="33"/>
    <w:qFormat/>
    <w:rsid w:val="009015A3"/>
    <w:rPr>
      <w:rFonts w:ascii="Calibri" w:hAnsi="Calibri"/>
      <w:b/>
      <w:bCs/>
      <w:i w:val="0"/>
      <w:iCs w:val="0"/>
      <w:caps w:val="0"/>
      <w:smallCaps/>
      <w:color w:val="4F81BD" w:themeColor="accent1"/>
      <w:spacing w:val="30"/>
      <w:kern w:val="28"/>
      <w:sz w:val="32"/>
      <w:szCs w:val="52"/>
    </w:rPr>
  </w:style>
  <w:style w:type="paragraph" w:styleId="Titel">
    <w:name w:val="Title"/>
    <w:aliases w:val="Titel 1"/>
    <w:basedOn w:val="Standaard"/>
    <w:next w:val="Standaard"/>
    <w:link w:val="TitelChar"/>
    <w:autoRedefine/>
    <w:uiPriority w:val="10"/>
    <w:qFormat/>
    <w:rsid w:val="009015A3"/>
    <w:pPr>
      <w:spacing w:before="120"/>
      <w:jc w:val="both"/>
    </w:pPr>
    <w:rPr>
      <w:rFonts w:eastAsiaTheme="minorHAnsi"/>
      <w:caps/>
      <w:color w:val="4F81BD" w:themeColor="accent1"/>
      <w:spacing w:val="20"/>
      <w:kern w:val="28"/>
      <w:sz w:val="32"/>
      <w:szCs w:val="52"/>
    </w:rPr>
  </w:style>
  <w:style w:type="character" w:customStyle="1" w:styleId="TitelChar">
    <w:name w:val="Titel Char"/>
    <w:aliases w:val="Titel 1 Char"/>
    <w:basedOn w:val="Standaardalinea-lettertype"/>
    <w:link w:val="Titel"/>
    <w:uiPriority w:val="10"/>
    <w:rsid w:val="009015A3"/>
    <w:rPr>
      <w:caps/>
      <w:color w:val="4F81BD" w:themeColor="accent1"/>
      <w:spacing w:val="20"/>
      <w:kern w:val="28"/>
      <w:sz w:val="32"/>
      <w:szCs w:val="52"/>
      <w:lang w:val="nl-BE"/>
    </w:rPr>
  </w:style>
  <w:style w:type="paragraph" w:customStyle="1" w:styleId="Typedocument">
    <w:name w:val="Type document"/>
    <w:basedOn w:val="Kop1"/>
    <w:next w:val="Geenafstand"/>
    <w:qFormat/>
    <w:rsid w:val="009015A3"/>
    <w:pPr>
      <w:numPr>
        <w:numId w:val="0"/>
      </w:numPr>
    </w:pPr>
    <w:rPr>
      <w:rFonts w:eastAsiaTheme="minorEastAsia"/>
      <w:spacing w:val="20"/>
      <w:sz w:val="22"/>
    </w:rPr>
  </w:style>
  <w:style w:type="paragraph" w:styleId="Geenafstand">
    <w:name w:val="No Spacing"/>
    <w:uiPriority w:val="1"/>
    <w:qFormat/>
    <w:rsid w:val="009015A3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9015A3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5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5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5A3"/>
    <w:rPr>
      <w:rFonts w:eastAsiaTheme="minorEastAsia"/>
      <w:sz w:val="20"/>
      <w:szCs w:val="20"/>
      <w:lang w:val="nl-BE"/>
    </w:rPr>
  </w:style>
  <w:style w:type="paragraph" w:styleId="Voettekst">
    <w:name w:val="footer"/>
    <w:basedOn w:val="Standaard"/>
    <w:link w:val="VoettekstChar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9015A3"/>
    <w:rPr>
      <w:rFonts w:eastAsiaTheme="minorEastAsia"/>
      <w:sz w:val="20"/>
      <w:szCs w:val="20"/>
      <w:lang w:val="nl-BE"/>
    </w:rPr>
  </w:style>
  <w:style w:type="table" w:styleId="Tabelraster">
    <w:name w:val="Table Grid"/>
    <w:basedOn w:val="Standaardtabel"/>
    <w:uiPriority w:val="59"/>
    <w:rsid w:val="009015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0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5A3"/>
    <w:rPr>
      <w:rFonts w:ascii="Tahoma" w:eastAsiaTheme="minorEastAsia" w:hAnsi="Tahoma" w:cs="Tahoma"/>
      <w:sz w:val="16"/>
      <w:szCs w:val="16"/>
      <w:lang w:val="nl-BE"/>
    </w:rPr>
  </w:style>
  <w:style w:type="paragraph" w:styleId="Lijstalinea">
    <w:name w:val="List Paragraph"/>
    <w:basedOn w:val="Standaard"/>
    <w:link w:val="LijstalineaChar"/>
    <w:uiPriority w:val="34"/>
    <w:qFormat/>
    <w:rsid w:val="00D6580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D6580B"/>
    <w:rPr>
      <w:rFonts w:ascii="Times New Roman" w:eastAsia="Times New Roman" w:hAnsi="Times New Roman" w:cs="Times New Roman"/>
      <w:sz w:val="24"/>
      <w:szCs w:val="20"/>
      <w:lang w:val="nl-BE" w:eastAsia="fr-FR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E4811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E4811"/>
    <w:rPr>
      <w:rFonts w:eastAsiaTheme="minorEastAsia"/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E4811"/>
    <w:rPr>
      <w:vertAlign w:val="superscript"/>
    </w:rPr>
  </w:style>
  <w:style w:type="character" w:customStyle="1" w:styleId="Bodytext2">
    <w:name w:val="Body text (2)_"/>
    <w:basedOn w:val="Standaardalinea-lettertype"/>
    <w:link w:val="Bodytext21"/>
    <w:uiPriority w:val="99"/>
    <w:rsid w:val="00E3732F"/>
    <w:rPr>
      <w:sz w:val="21"/>
      <w:szCs w:val="21"/>
      <w:shd w:val="clear" w:color="auto" w:fill="FFFFFF"/>
    </w:rPr>
  </w:style>
  <w:style w:type="character" w:customStyle="1" w:styleId="Heading1">
    <w:name w:val="Heading #1_"/>
    <w:basedOn w:val="Standaardalinea-lettertype"/>
    <w:link w:val="Heading10"/>
    <w:uiPriority w:val="99"/>
    <w:rsid w:val="00E3732F"/>
    <w:rPr>
      <w:b/>
      <w:bCs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E3732F"/>
    <w:rPr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Standaard"/>
    <w:link w:val="Bodytext2"/>
    <w:uiPriority w:val="99"/>
    <w:rsid w:val="00E3732F"/>
    <w:pPr>
      <w:widowControl w:val="0"/>
      <w:shd w:val="clear" w:color="auto" w:fill="FFFFFF"/>
      <w:spacing w:after="480" w:line="250" w:lineRule="exact"/>
      <w:ind w:hanging="557"/>
      <w:jc w:val="both"/>
    </w:pPr>
    <w:rPr>
      <w:rFonts w:eastAsiaTheme="minorHAnsi"/>
      <w:sz w:val="21"/>
      <w:szCs w:val="21"/>
      <w:lang w:val="en-US"/>
    </w:rPr>
  </w:style>
  <w:style w:type="paragraph" w:customStyle="1" w:styleId="Heading10">
    <w:name w:val="Heading #1"/>
    <w:basedOn w:val="Standaard"/>
    <w:link w:val="Heading1"/>
    <w:uiPriority w:val="99"/>
    <w:rsid w:val="00E3732F"/>
    <w:pPr>
      <w:widowControl w:val="0"/>
      <w:shd w:val="clear" w:color="auto" w:fill="FFFFFF"/>
      <w:spacing w:before="480" w:after="300" w:line="240" w:lineRule="atLeast"/>
      <w:ind w:hanging="557"/>
      <w:jc w:val="both"/>
      <w:outlineLvl w:val="0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0">
    <w:name w:val="Body text (2)"/>
    <w:basedOn w:val="Bodytext2"/>
    <w:uiPriority w:val="99"/>
    <w:rsid w:val="00526C19"/>
    <w:rPr>
      <w:sz w:val="21"/>
      <w:szCs w:val="21"/>
      <w:u w:val="single"/>
      <w:shd w:val="clear" w:color="auto" w:fill="FFFFFF"/>
    </w:rPr>
  </w:style>
  <w:style w:type="character" w:customStyle="1" w:styleId="Bodytext4">
    <w:name w:val="Body text (4)_"/>
    <w:basedOn w:val="Standaardalinea-lettertype"/>
    <w:link w:val="Bodytext41"/>
    <w:uiPriority w:val="99"/>
    <w:rsid w:val="00526C19"/>
    <w:rPr>
      <w:i/>
      <w:iCs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526C19"/>
    <w:rPr>
      <w:i/>
      <w:iCs/>
      <w:u w:val="single"/>
      <w:shd w:val="clear" w:color="auto" w:fill="FFFFFF"/>
    </w:rPr>
  </w:style>
  <w:style w:type="paragraph" w:customStyle="1" w:styleId="Bodytext41">
    <w:name w:val="Body text (4)1"/>
    <w:basedOn w:val="Standaard"/>
    <w:link w:val="Bodytext4"/>
    <w:uiPriority w:val="99"/>
    <w:rsid w:val="00526C19"/>
    <w:pPr>
      <w:widowControl w:val="0"/>
      <w:shd w:val="clear" w:color="auto" w:fill="FFFFFF"/>
      <w:spacing w:line="509" w:lineRule="exact"/>
      <w:ind w:hanging="557"/>
      <w:jc w:val="both"/>
    </w:pPr>
    <w:rPr>
      <w:rFonts w:eastAsiaTheme="minorHAnsi"/>
      <w:i/>
      <w:iCs/>
      <w:sz w:val="22"/>
      <w:szCs w:val="22"/>
      <w:lang w:val="en-US"/>
    </w:rPr>
  </w:style>
  <w:style w:type="character" w:customStyle="1" w:styleId="Tablecaption">
    <w:name w:val="Table caption_"/>
    <w:basedOn w:val="Standaardalinea-lettertype"/>
    <w:link w:val="Tablecaption0"/>
    <w:uiPriority w:val="99"/>
    <w:rsid w:val="00526C19"/>
    <w:rPr>
      <w:b/>
      <w:bCs/>
      <w:sz w:val="21"/>
      <w:szCs w:val="21"/>
      <w:shd w:val="clear" w:color="auto" w:fill="FFFFFF"/>
    </w:rPr>
  </w:style>
  <w:style w:type="paragraph" w:customStyle="1" w:styleId="Tablecaption0">
    <w:name w:val="Table caption"/>
    <w:basedOn w:val="Standaard"/>
    <w:link w:val="Tablecaption"/>
    <w:uiPriority w:val="99"/>
    <w:rsid w:val="00526C19"/>
    <w:pPr>
      <w:widowControl w:val="0"/>
      <w:shd w:val="clear" w:color="auto" w:fill="FFFFFF"/>
      <w:spacing w:line="269" w:lineRule="exact"/>
      <w:ind w:hanging="1142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2">
    <w:name w:val="Body text (2)2"/>
    <w:basedOn w:val="Bodytext2"/>
    <w:uiPriority w:val="99"/>
    <w:rsid w:val="00526C19"/>
    <w:rPr>
      <w:sz w:val="21"/>
      <w:szCs w:val="21"/>
      <w:u w:val="none"/>
      <w:shd w:val="clear" w:color="auto" w:fill="FFFFFF"/>
    </w:rPr>
  </w:style>
  <w:style w:type="paragraph" w:customStyle="1" w:styleId="Paragraph">
    <w:name w:val="Paragraph"/>
    <w:link w:val="ParagraphChar"/>
    <w:qFormat/>
    <w:rsid w:val="00342E6F"/>
    <w:p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Char">
    <w:name w:val="Paragraph Char"/>
    <w:link w:val="Paragraph"/>
    <w:rsid w:val="00342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alweb">
    <w:name w:val="Normal (Web)"/>
    <w:basedOn w:val="Standaard"/>
    <w:uiPriority w:val="99"/>
    <w:unhideWhenUsed/>
    <w:rsid w:val="00342E6F"/>
    <w:pPr>
      <w:spacing w:before="48" w:after="12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rsid w:val="00342E6F"/>
    <w:rPr>
      <w:color w:val="0000FF"/>
      <w:u w:val="single"/>
    </w:rPr>
  </w:style>
  <w:style w:type="paragraph" w:customStyle="1" w:styleId="titel123">
    <w:name w:val="titel 1.2.3."/>
    <w:basedOn w:val="Standaard"/>
    <w:autoRedefine/>
    <w:rsid w:val="00484CF8"/>
    <w:pPr>
      <w:spacing w:after="120" w:line="23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32"/>
      <w:lang w:val="nl-NL" w:eastAsia="fr-FR"/>
    </w:rPr>
  </w:style>
  <w:style w:type="table" w:styleId="Lichtelijst-accent5">
    <w:name w:val="Light List Accent 5"/>
    <w:basedOn w:val="Standaardtabel"/>
    <w:uiPriority w:val="61"/>
    <w:rsid w:val="0048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ijschrift">
    <w:name w:val="caption"/>
    <w:aliases w:val="Lengende,Figure heading,legend,表タイトル,Bayer Caption,IB Caption,Medical Caption"/>
    <w:basedOn w:val="Standaard"/>
    <w:next w:val="Standaard"/>
    <w:link w:val="BijschriftChar"/>
    <w:unhideWhenUsed/>
    <w:qFormat/>
    <w:rsid w:val="00E156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jstnummering">
    <w:name w:val="List Number"/>
    <w:rsid w:val="00DB4D7C"/>
    <w:pPr>
      <w:tabs>
        <w:tab w:val="num" w:pos="72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Lijstopsomteken2">
    <w:name w:val="List Bullet 2"/>
    <w:link w:val="Lijstopsomteken2Char"/>
    <w:uiPriority w:val="99"/>
    <w:rsid w:val="00DB4D7C"/>
    <w:pPr>
      <w:tabs>
        <w:tab w:val="num" w:pos="72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jstopsomteken2Char">
    <w:name w:val="Lijst opsom.teken 2 Char"/>
    <w:link w:val="Lijstopsomteken2"/>
    <w:uiPriority w:val="99"/>
    <w:rsid w:val="00DB4D7C"/>
    <w:rPr>
      <w:rFonts w:ascii="Times New Roman" w:eastAsia="Times New Roman" w:hAnsi="Times New Roman" w:cs="Times New Roman"/>
      <w:sz w:val="24"/>
      <w:szCs w:val="24"/>
    </w:rPr>
  </w:style>
  <w:style w:type="character" w:customStyle="1" w:styleId="BijschriftChar">
    <w:name w:val="Bijschrift Char"/>
    <w:aliases w:val="Lengende Char,Figure heading Char,legend Char,表タイトル Char,Bayer Caption Char,IB Caption Char,Medical Caption Char"/>
    <w:link w:val="Bijschrift"/>
    <w:rsid w:val="0079329C"/>
    <w:rPr>
      <w:rFonts w:eastAsiaTheme="minorEastAsia"/>
      <w:b/>
      <w:bCs/>
      <w:color w:val="4F81BD" w:themeColor="accent1"/>
      <w:sz w:val="18"/>
      <w:szCs w:val="18"/>
      <w:lang w:val="nl-BE"/>
    </w:rPr>
  </w:style>
  <w:style w:type="character" w:styleId="Intensievebenadrukking">
    <w:name w:val="Intense Emphasis"/>
    <w:aliases w:val="Titel Tabel"/>
    <w:basedOn w:val="Standaardalinea-lettertype"/>
    <w:uiPriority w:val="21"/>
    <w:qFormat/>
    <w:rsid w:val="0025335C"/>
    <w:rPr>
      <w:b/>
      <w:bCs/>
      <w:i/>
      <w:iCs/>
      <w:color w:val="4F81BD" w:themeColor="accent1"/>
    </w:rPr>
  </w:style>
  <w:style w:type="table" w:styleId="Lichtelijst-accent1">
    <w:name w:val="Light List Accent 1"/>
    <w:basedOn w:val="Standaardtabel"/>
    <w:uiPriority w:val="61"/>
    <w:rsid w:val="00F263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Zwaar">
    <w:name w:val="Strong"/>
    <w:basedOn w:val="Standaardalinea-lettertype"/>
    <w:uiPriority w:val="22"/>
    <w:qFormat/>
    <w:rsid w:val="00765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96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2019-11-13T23:00:00+00:00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76</Value>
      <Value>8</Value>
      <Value>29</Value>
      <Value>58</Value>
      <Value>104</Value>
      <Value>36</Value>
      <Value>43</Value>
    </TaxCatchAll>
    <RIDocSummary xmlns="f15eea43-7fa7-45cf-8dc0-d5244e2cd467">Décision de cohorte relative au traitement des tumeurs solides localement avancées ou métastatiques liées à la fusion de gènes NTRK après une thérapie standard antérieure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Liste</TermName>
          <TermId xmlns="http://schemas.microsoft.com/office/infopath/2007/PartnerControls">4b68e6f4-88ba-4e84-af27-feef342e0c82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2D4C8-E113-4297-9D95-9022D092A9C9}"/>
</file>

<file path=customXml/itemProps2.xml><?xml version="1.0" encoding="utf-8"?>
<ds:datastoreItem xmlns:ds="http://schemas.openxmlformats.org/officeDocument/2006/customXml" ds:itemID="{F7360AD8-3D17-4707-81F1-E9DCFAA42AAF}"/>
</file>

<file path=customXml/itemProps3.xml><?xml version="1.0" encoding="utf-8"?>
<ds:datastoreItem xmlns:ds="http://schemas.openxmlformats.org/officeDocument/2006/customXml" ds:itemID="{A44C2B46-02AC-4331-8C3C-886489570C2B}"/>
</file>

<file path=customXml/itemProps4.xml><?xml version="1.0" encoding="utf-8"?>
<ds:datastoreItem xmlns:ds="http://schemas.openxmlformats.org/officeDocument/2006/customXml" ds:itemID="{AF9DEC7D-DDC3-4FA1-9843-4C09CFF2CC21}"/>
</file>

<file path=docProps/app.xml><?xml version="1.0" encoding="utf-8"?>
<Properties xmlns="http://schemas.openxmlformats.org/officeDocument/2006/extended-properties" xmlns:vt="http://schemas.openxmlformats.org/officeDocument/2006/docPropsVTypes">
  <Template>AF4107EA.dotm</Template>
  <TotalTime>0</TotalTime>
  <Pages>2</Pages>
  <Words>663</Words>
  <Characters>3650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Besoin médical non rencontré - Unmet Medical Need - Décisions de cohorte</dc:title>
  <dc:creator>Florence Leveque</dc:creator>
  <cp:lastModifiedBy>Vandenberg Linda</cp:lastModifiedBy>
  <cp:revision>2</cp:revision>
  <cp:lastPrinted>2016-11-07T10:33:00Z</cp:lastPrinted>
  <dcterms:created xsi:type="dcterms:W3CDTF">2019-11-14T13:32:00Z</dcterms:created>
  <dcterms:modified xsi:type="dcterms:W3CDTF">2019-11-14T13:32:00Z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4" name="RITheme">
    <vt:lpwstr>36;#Médicaments|b682f967-947f-46c2-927d-2d02db18ffbc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