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5A3" w:rsidRPr="009A0E8E" w:rsidRDefault="005F0771" w:rsidP="00484CF8">
      <w:pPr>
        <w:pStyle w:val="Typedocument"/>
      </w:pPr>
      <w:bookmarkStart w:id="0" w:name="_GoBack"/>
      <w:bookmarkEnd w:id="0"/>
      <w:r>
        <w:t>COHORTBESLISSING</w:t>
      </w:r>
    </w:p>
    <w:p w:rsidR="00E27833" w:rsidRDefault="00E27833" w:rsidP="009015A3">
      <w:pPr>
        <w:jc w:val="both"/>
        <w:rPr>
          <w:rStyle w:val="OndertitelChar"/>
        </w:rPr>
      </w:pPr>
    </w:p>
    <w:p w:rsidR="00C04771" w:rsidRDefault="009015A3" w:rsidP="00C04771">
      <w:pPr>
        <w:jc w:val="both"/>
        <w:rPr>
          <w:rStyle w:val="OndertitelChar"/>
        </w:rPr>
      </w:pPr>
      <w:r w:rsidRPr="009A0E8E">
        <w:rPr>
          <w:rStyle w:val="OndertitelChar"/>
        </w:rPr>
        <w:t>Dossier:</w:t>
      </w:r>
      <w:r w:rsidRPr="009A0E8E">
        <w:t xml:space="preserve"> </w:t>
      </w:r>
      <w:r w:rsidR="00C07F11">
        <w:rPr>
          <w:rStyle w:val="OndertitelChar"/>
        </w:rPr>
        <w:t>105</w:t>
      </w:r>
      <w:r w:rsidR="003A4FA1">
        <w:rPr>
          <w:rStyle w:val="OndertitelChar"/>
        </w:rPr>
        <w:t>6</w:t>
      </w:r>
    </w:p>
    <w:p w:rsidR="003A4FA1" w:rsidRPr="00597B4D" w:rsidRDefault="003A4FA1" w:rsidP="003A4FA1">
      <w:pPr>
        <w:pStyle w:val="Geenafstand"/>
        <w:rPr>
          <w:rStyle w:val="Titelvanboek"/>
        </w:rPr>
      </w:pPr>
      <w:r w:rsidRPr="00597B4D">
        <w:rPr>
          <w:rStyle w:val="Titelvanboek"/>
          <w:caps/>
          <w:smallCaps w:val="0"/>
        </w:rPr>
        <w:t>VITRAKVI</w:t>
      </w:r>
    </w:p>
    <w:p w:rsidR="003A4FA1" w:rsidRPr="00597B4D" w:rsidRDefault="003A4FA1" w:rsidP="003A4FA1">
      <w:pPr>
        <w:pStyle w:val="Geenafstand"/>
        <w:rPr>
          <w:rStyle w:val="Titelvanboek"/>
        </w:rPr>
      </w:pPr>
      <w:r w:rsidRPr="00597B4D">
        <w:rPr>
          <w:rStyle w:val="Titelvanboek"/>
        </w:rPr>
        <w:t>(</w:t>
      </w:r>
      <w:r w:rsidRPr="00597B4D">
        <w:rPr>
          <w:rStyle w:val="Titelvanboek"/>
          <w:sz w:val="28"/>
        </w:rPr>
        <w:t>LAROTRECTINIB</w:t>
      </w:r>
      <w:r w:rsidRPr="00597B4D">
        <w:rPr>
          <w:rStyle w:val="Titelvanboek"/>
        </w:rPr>
        <w:t>)</w:t>
      </w:r>
    </w:p>
    <w:p w:rsidR="003A4FA1" w:rsidRPr="00597B4D" w:rsidRDefault="003A4FA1" w:rsidP="003A4FA1">
      <w:pPr>
        <w:pStyle w:val="Geenafstand"/>
        <w:rPr>
          <w:rStyle w:val="Titelvanboek"/>
          <w:sz w:val="24"/>
        </w:rPr>
      </w:pPr>
      <w:r w:rsidRPr="00597B4D">
        <w:rPr>
          <w:rStyle w:val="Titelvanboek"/>
          <w:sz w:val="24"/>
        </w:rPr>
        <w:t xml:space="preserve">CAPSULES VAN 100 MG </w:t>
      </w:r>
    </w:p>
    <w:p w:rsidR="003A4FA1" w:rsidRPr="00597B4D" w:rsidRDefault="003A4FA1" w:rsidP="003A4FA1">
      <w:pPr>
        <w:pStyle w:val="Geenafstand"/>
        <w:rPr>
          <w:rStyle w:val="Titelvanboek"/>
          <w:sz w:val="24"/>
        </w:rPr>
      </w:pPr>
      <w:r w:rsidRPr="00597B4D">
        <w:rPr>
          <w:rStyle w:val="Titelvanboek"/>
          <w:sz w:val="24"/>
        </w:rPr>
        <w:t xml:space="preserve">CAPSULES VAN 25 MG </w:t>
      </w:r>
    </w:p>
    <w:p w:rsidR="003A4FA1" w:rsidRPr="00597B4D" w:rsidRDefault="003A4FA1" w:rsidP="003A4FA1">
      <w:pPr>
        <w:pStyle w:val="Geenafstand"/>
        <w:rPr>
          <w:rStyle w:val="Titelvanboek"/>
          <w:sz w:val="24"/>
        </w:rPr>
      </w:pPr>
      <w:r w:rsidRPr="00597B4D">
        <w:rPr>
          <w:rStyle w:val="Titelvanboek"/>
          <w:sz w:val="24"/>
        </w:rPr>
        <w:t>ORALE OPLOSSING (20 MG/ML)</w:t>
      </w:r>
    </w:p>
    <w:p w:rsidR="005F0771" w:rsidRPr="003A4FA1" w:rsidRDefault="005F0771" w:rsidP="005F0771">
      <w:pPr>
        <w:pStyle w:val="Geenafstand"/>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000" w:firstRow="0" w:lastRow="0" w:firstColumn="0" w:lastColumn="0" w:noHBand="0" w:noVBand="0"/>
      </w:tblPr>
      <w:tblGrid>
        <w:gridCol w:w="9852"/>
      </w:tblGrid>
      <w:tr w:rsidR="005F0771" w:rsidRPr="009015A3" w:rsidTr="005F0771">
        <w:trPr>
          <w:cantSplit/>
        </w:trPr>
        <w:tc>
          <w:tcPr>
            <w:tcW w:w="9852" w:type="dxa"/>
            <w:shd w:val="clear" w:color="auto" w:fill="C6D9F1" w:themeFill="text2" w:themeFillTint="33"/>
          </w:tcPr>
          <w:p w:rsidR="005F0771" w:rsidRPr="00E5583D" w:rsidRDefault="005F0771" w:rsidP="005F0771">
            <w:pPr>
              <w:jc w:val="both"/>
              <w:rPr>
                <w:highlight w:val="yellow"/>
                <w:lang w:val="fr-BE"/>
              </w:rPr>
            </w:pPr>
            <w:r w:rsidRPr="00F8664A">
              <w:rPr>
                <w:b/>
                <w:lang w:val="fr-BE"/>
              </w:rPr>
              <w:t>GEMENGDE COHORTE</w:t>
            </w:r>
          </w:p>
        </w:tc>
      </w:tr>
    </w:tbl>
    <w:p w:rsidR="005F0771" w:rsidRDefault="005F0771" w:rsidP="00E3732F">
      <w:pPr>
        <w:pStyle w:val="Geenafstand"/>
        <w:rPr>
          <w:rStyle w:val="Titelvanboek"/>
          <w:lang w:val="fr-BE"/>
        </w:rPr>
      </w:pPr>
    </w:p>
    <w:p w:rsidR="00B279BE" w:rsidRPr="00484CF8" w:rsidRDefault="00DB6125" w:rsidP="005F0771">
      <w:pPr>
        <w:pStyle w:val="Kop2"/>
        <w:numPr>
          <w:ilvl w:val="0"/>
          <w:numId w:val="0"/>
        </w:numPr>
        <w:ind w:left="720" w:hanging="720"/>
        <w:rPr>
          <w:lang w:val="nl-BE"/>
        </w:rPr>
      </w:pPr>
      <w:r w:rsidRPr="00484CF8">
        <w:rPr>
          <w:lang w:val="nl-BE"/>
        </w:rPr>
        <w:t xml:space="preserve">thErapeutiSCHe </w:t>
      </w:r>
      <w:r w:rsidR="00B279BE" w:rsidRPr="00484CF8">
        <w:rPr>
          <w:lang w:val="nl-BE"/>
        </w:rPr>
        <w:t>indicati</w:t>
      </w:r>
      <w:r w:rsidRPr="00484CF8">
        <w:rPr>
          <w:lang w:val="nl-BE"/>
        </w:rPr>
        <w:t>E</w:t>
      </w:r>
      <w:r w:rsidR="00B279BE" w:rsidRPr="00484CF8">
        <w:rPr>
          <w:lang w:val="nl-BE"/>
        </w:rPr>
        <w:t xml:space="preserve"> </w:t>
      </w:r>
    </w:p>
    <w:p w:rsidR="00B279BE" w:rsidRDefault="003A4FA1" w:rsidP="00B279BE">
      <w:pPr>
        <w:pStyle w:val="Geenafstand"/>
        <w:rPr>
          <w:rFonts w:cstheme="minorHAnsi"/>
        </w:rPr>
      </w:pPr>
      <w:r w:rsidRPr="00D05AB7">
        <w:rPr>
          <w:rFonts w:cstheme="minorHAnsi"/>
        </w:rPr>
        <w:t>Behandeling van volwassenen en kinderen met een lokaal gevorderde of gemetastaseerde vaste tumor met een NTRK-genfusie na eerdere standaardtherapie of als eerstelijnsbehandeling wanneer er geen geschikte therapeutische optie is</w:t>
      </w:r>
      <w:r>
        <w:rPr>
          <w:rFonts w:cstheme="minorHAnsi"/>
        </w:rPr>
        <w:t>.</w:t>
      </w:r>
    </w:p>
    <w:p w:rsidR="003A4FA1" w:rsidRDefault="003A4FA1" w:rsidP="00B279BE">
      <w:pPr>
        <w:pStyle w:val="Geenafstand"/>
      </w:pPr>
    </w:p>
    <w:p w:rsidR="004110CC" w:rsidRPr="00DB6125" w:rsidRDefault="004110CC" w:rsidP="00B279BE">
      <w:pPr>
        <w:pStyle w:val="Geenafstand"/>
      </w:pPr>
    </w:p>
    <w:p w:rsidR="00B279BE" w:rsidRPr="00903A23" w:rsidRDefault="00DB6125" w:rsidP="00A705DE">
      <w:pPr>
        <w:pStyle w:val="Kop2"/>
        <w:numPr>
          <w:ilvl w:val="0"/>
          <w:numId w:val="0"/>
        </w:numPr>
        <w:ind w:left="720" w:hanging="720"/>
      </w:pPr>
      <w:r>
        <w:t xml:space="preserve">beschrijving van de </w:t>
      </w:r>
      <w:r w:rsidR="00B279BE">
        <w:t>cohort</w:t>
      </w:r>
      <w:r w:rsidR="00B279BE" w:rsidRPr="00B279BE">
        <w:t xml:space="preserve"> </w:t>
      </w:r>
    </w:p>
    <w:p w:rsidR="004110CC" w:rsidRPr="00A77546" w:rsidRDefault="004110CC" w:rsidP="00B279BE">
      <w:pPr>
        <w:pStyle w:val="Geenafstand"/>
        <w:jc w:val="both"/>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279BE" w:rsidRPr="00490CFB" w:rsidTr="00B279BE">
        <w:trPr>
          <w:cantSplit/>
          <w:trHeight w:val="110"/>
        </w:trPr>
        <w:tc>
          <w:tcPr>
            <w:tcW w:w="9889" w:type="dxa"/>
            <w:shd w:val="clear" w:color="auto" w:fill="C6D9F1" w:themeFill="text2" w:themeFillTint="33"/>
          </w:tcPr>
          <w:p w:rsidR="00B279BE" w:rsidRPr="009A47A3" w:rsidRDefault="00B279BE" w:rsidP="00B279BE">
            <w:pPr>
              <w:jc w:val="both"/>
              <w:rPr>
                <w:b/>
              </w:rPr>
            </w:pPr>
            <w:r w:rsidRPr="00A77546">
              <w:rPr>
                <w:b/>
                <w:lang w:val="fr-BE"/>
              </w:rPr>
              <w:t>C</w:t>
            </w:r>
            <w:r>
              <w:rPr>
                <w:b/>
                <w:lang w:val="fr-BE"/>
              </w:rPr>
              <w:t xml:space="preserve">ohort </w:t>
            </w:r>
            <w:r w:rsidRPr="002D4698">
              <w:rPr>
                <w:b/>
              </w:rPr>
              <w:t>beschrijving</w:t>
            </w:r>
          </w:p>
        </w:tc>
      </w:tr>
      <w:tr w:rsidR="00B279BE" w:rsidRPr="00356562" w:rsidTr="00DB6125">
        <w:trPr>
          <w:cantSplit/>
          <w:trHeight w:val="110"/>
        </w:trPr>
        <w:tc>
          <w:tcPr>
            <w:tcW w:w="9889" w:type="dxa"/>
            <w:shd w:val="clear" w:color="auto" w:fill="F2DBDB" w:themeFill="accent2" w:themeFillTint="33"/>
          </w:tcPr>
          <w:p w:rsidR="00B279BE" w:rsidRPr="00D6580B" w:rsidRDefault="00DB6125" w:rsidP="00DB6125">
            <w:pPr>
              <w:rPr>
                <w:lang w:val="en-GB"/>
              </w:rPr>
            </w:pPr>
            <w:r>
              <w:rPr>
                <w:lang w:val="en-GB"/>
              </w:rPr>
              <w:t>Inclusiecriteria</w:t>
            </w:r>
          </w:p>
        </w:tc>
      </w:tr>
      <w:tr w:rsidR="003A4FA1" w:rsidRPr="00356562" w:rsidTr="00B279BE">
        <w:trPr>
          <w:cantSplit/>
          <w:trHeight w:val="110"/>
        </w:trPr>
        <w:tc>
          <w:tcPr>
            <w:tcW w:w="9889" w:type="dxa"/>
          </w:tcPr>
          <w:p w:rsidR="003A4FA1" w:rsidRPr="003A4FA1" w:rsidRDefault="003A4FA1" w:rsidP="003A4FA1">
            <w:pPr>
              <w:numPr>
                <w:ilvl w:val="0"/>
                <w:numId w:val="25"/>
              </w:numPr>
              <w:autoSpaceDE w:val="0"/>
              <w:autoSpaceDN w:val="0"/>
              <w:adjustRightInd w:val="0"/>
              <w:spacing w:line="240" w:lineRule="auto"/>
              <w:rPr>
                <w:rFonts w:cstheme="minorHAnsi"/>
                <w:i/>
              </w:rPr>
            </w:pPr>
            <w:r w:rsidRPr="003A4FA1">
              <w:rPr>
                <w:rFonts w:cstheme="minorHAnsi"/>
              </w:rPr>
              <w:t>Schriftelijke geïnformeerde toestemming</w:t>
            </w:r>
          </w:p>
        </w:tc>
      </w:tr>
      <w:tr w:rsidR="003A4FA1" w:rsidRPr="00356562" w:rsidTr="00B279BE">
        <w:trPr>
          <w:cantSplit/>
          <w:trHeight w:val="110"/>
        </w:trPr>
        <w:tc>
          <w:tcPr>
            <w:tcW w:w="9889" w:type="dxa"/>
          </w:tcPr>
          <w:p w:rsidR="003A4FA1" w:rsidRPr="003A4FA1" w:rsidRDefault="003A4FA1" w:rsidP="003A4FA1">
            <w:pPr>
              <w:pStyle w:val="Lijstalinea"/>
              <w:numPr>
                <w:ilvl w:val="0"/>
                <w:numId w:val="25"/>
              </w:numPr>
              <w:contextualSpacing w:val="0"/>
              <w:jc w:val="both"/>
              <w:rPr>
                <w:rFonts w:asciiTheme="minorHAnsi" w:hAnsiTheme="minorHAnsi" w:cstheme="minorHAnsi"/>
                <w:sz w:val="20"/>
              </w:rPr>
            </w:pPr>
            <w:r w:rsidRPr="003A4FA1">
              <w:rPr>
                <w:rFonts w:asciiTheme="minorHAnsi" w:hAnsiTheme="minorHAnsi" w:cstheme="minorHAnsi"/>
                <w:sz w:val="20"/>
              </w:rPr>
              <w:t>Leeftijd ≥ 1 maand.</w:t>
            </w:r>
          </w:p>
        </w:tc>
      </w:tr>
      <w:tr w:rsidR="003A4FA1" w:rsidRPr="003A4FA1" w:rsidTr="00B279BE">
        <w:trPr>
          <w:cantSplit/>
          <w:trHeight w:val="110"/>
        </w:trPr>
        <w:tc>
          <w:tcPr>
            <w:tcW w:w="9889" w:type="dxa"/>
          </w:tcPr>
          <w:p w:rsidR="003A4FA1" w:rsidRPr="003A4FA1" w:rsidRDefault="003A4FA1" w:rsidP="003A4FA1">
            <w:pPr>
              <w:pStyle w:val="Lijstalinea"/>
              <w:numPr>
                <w:ilvl w:val="0"/>
                <w:numId w:val="25"/>
              </w:numPr>
              <w:contextualSpacing w:val="0"/>
              <w:jc w:val="both"/>
              <w:rPr>
                <w:rFonts w:asciiTheme="minorHAnsi" w:hAnsiTheme="minorHAnsi" w:cstheme="minorHAnsi"/>
                <w:sz w:val="20"/>
                <w:lang w:val="en-GB"/>
              </w:rPr>
            </w:pPr>
            <w:r w:rsidRPr="003A4FA1">
              <w:rPr>
                <w:rFonts w:asciiTheme="minorHAnsi" w:hAnsiTheme="minorHAnsi" w:cstheme="minorHAnsi"/>
                <w:sz w:val="20"/>
                <w:lang w:val="en-US"/>
              </w:rPr>
              <w:t>ECOG-score (Eastern Cooperative Oncology Group) ≤ 3 of Lansky PS ≥ 50 voor patiënten &lt; 16 jaar.</w:t>
            </w:r>
          </w:p>
        </w:tc>
      </w:tr>
      <w:tr w:rsidR="003A4FA1" w:rsidRPr="00356562" w:rsidTr="00B279BE">
        <w:trPr>
          <w:cantSplit/>
          <w:trHeight w:val="110"/>
        </w:trPr>
        <w:tc>
          <w:tcPr>
            <w:tcW w:w="9889" w:type="dxa"/>
          </w:tcPr>
          <w:p w:rsidR="003A4FA1" w:rsidRPr="003A4FA1" w:rsidRDefault="003A4FA1" w:rsidP="003A4FA1">
            <w:pPr>
              <w:pStyle w:val="Lijstalinea"/>
              <w:numPr>
                <w:ilvl w:val="0"/>
                <w:numId w:val="25"/>
              </w:numPr>
              <w:contextualSpacing w:val="0"/>
              <w:jc w:val="both"/>
              <w:rPr>
                <w:rFonts w:asciiTheme="minorHAnsi" w:hAnsiTheme="minorHAnsi" w:cstheme="minorHAnsi"/>
                <w:sz w:val="20"/>
              </w:rPr>
            </w:pPr>
            <w:r w:rsidRPr="003A4FA1">
              <w:rPr>
                <w:rFonts w:asciiTheme="minorHAnsi" w:hAnsiTheme="minorHAnsi" w:cstheme="minorHAnsi"/>
                <w:sz w:val="20"/>
              </w:rPr>
              <w:t>Lokaal gevorderde of gemetastaseerde vaste tumor.</w:t>
            </w:r>
          </w:p>
        </w:tc>
      </w:tr>
      <w:tr w:rsidR="003A4FA1" w:rsidRPr="00356562" w:rsidTr="00B279BE">
        <w:trPr>
          <w:cantSplit/>
          <w:trHeight w:val="110"/>
        </w:trPr>
        <w:tc>
          <w:tcPr>
            <w:tcW w:w="9889" w:type="dxa"/>
          </w:tcPr>
          <w:p w:rsidR="003A4FA1" w:rsidRPr="003A4FA1" w:rsidRDefault="003A4FA1" w:rsidP="003A4FA1">
            <w:pPr>
              <w:pStyle w:val="Lijstalinea"/>
              <w:numPr>
                <w:ilvl w:val="0"/>
                <w:numId w:val="25"/>
              </w:numPr>
              <w:contextualSpacing w:val="0"/>
              <w:jc w:val="both"/>
              <w:rPr>
                <w:rFonts w:asciiTheme="minorHAnsi" w:hAnsiTheme="minorHAnsi" w:cstheme="minorHAnsi"/>
                <w:sz w:val="20"/>
              </w:rPr>
            </w:pPr>
            <w:r w:rsidRPr="003A4FA1">
              <w:rPr>
                <w:rFonts w:asciiTheme="minorHAnsi" w:hAnsiTheme="minorHAnsi" w:cstheme="minorHAnsi"/>
                <w:sz w:val="20"/>
              </w:rPr>
              <w:t xml:space="preserve">Tumor met een </w:t>
            </w:r>
            <w:r w:rsidRPr="003A4FA1">
              <w:rPr>
                <w:rFonts w:asciiTheme="minorHAnsi" w:hAnsiTheme="minorHAnsi" w:cstheme="minorHAnsi"/>
                <w:i/>
                <w:sz w:val="20"/>
              </w:rPr>
              <w:t>NTRK1-</w:t>
            </w:r>
            <w:r w:rsidRPr="003A4FA1">
              <w:rPr>
                <w:rFonts w:asciiTheme="minorHAnsi" w:hAnsiTheme="minorHAnsi" w:cstheme="minorHAnsi"/>
                <w:sz w:val="20"/>
              </w:rPr>
              <w:t xml:space="preserve">, </w:t>
            </w:r>
            <w:r w:rsidRPr="003A4FA1">
              <w:rPr>
                <w:rFonts w:asciiTheme="minorHAnsi" w:hAnsiTheme="minorHAnsi" w:cstheme="minorHAnsi"/>
                <w:i/>
                <w:sz w:val="20"/>
              </w:rPr>
              <w:t xml:space="preserve">NTRK2- </w:t>
            </w:r>
            <w:r w:rsidRPr="003A4FA1">
              <w:rPr>
                <w:rFonts w:asciiTheme="minorHAnsi" w:hAnsiTheme="minorHAnsi" w:cstheme="minorHAnsi"/>
                <w:sz w:val="20"/>
              </w:rPr>
              <w:t xml:space="preserve">of </w:t>
            </w:r>
            <w:r w:rsidRPr="003A4FA1">
              <w:rPr>
                <w:rFonts w:asciiTheme="minorHAnsi" w:hAnsiTheme="minorHAnsi" w:cstheme="minorHAnsi"/>
                <w:i/>
                <w:sz w:val="20"/>
              </w:rPr>
              <w:t>NTRK3-</w:t>
            </w:r>
            <w:r w:rsidRPr="003A4FA1">
              <w:rPr>
                <w:rFonts w:asciiTheme="minorHAnsi" w:hAnsiTheme="minorHAnsi" w:cstheme="minorHAnsi"/>
                <w:sz w:val="20"/>
              </w:rPr>
              <w:t>genfusie,</w:t>
            </w:r>
            <w:r w:rsidRPr="003A4FA1">
              <w:rPr>
                <w:rFonts w:asciiTheme="minorHAnsi" w:hAnsiTheme="minorHAnsi" w:cstheme="minorHAnsi"/>
                <w:iCs/>
                <w:sz w:val="20"/>
              </w:rPr>
              <w:t xml:space="preserve"> geconfirmeerd door één van de volgende lokale diagnostische testmethoden: fluorescentie-in-situhybridisatie (FISH),</w:t>
            </w:r>
            <w:r w:rsidRPr="003A4FA1">
              <w:rPr>
                <w:rFonts w:asciiTheme="minorHAnsi" w:hAnsiTheme="minorHAnsi" w:cstheme="minorHAnsi"/>
                <w:sz w:val="20"/>
              </w:rPr>
              <w:t xml:space="preserve"> Polymerase Chain Reaction (PCR) of Next Generation Sequencing (NGS). Het geanonimiseerde rapport van pathologie met de bevestigde </w:t>
            </w:r>
            <w:r w:rsidRPr="003A4FA1">
              <w:rPr>
                <w:rFonts w:asciiTheme="minorHAnsi" w:hAnsiTheme="minorHAnsi" w:cstheme="minorHAnsi"/>
                <w:i/>
                <w:sz w:val="20"/>
              </w:rPr>
              <w:t>NTRK</w:t>
            </w:r>
            <w:r w:rsidRPr="003A4FA1">
              <w:rPr>
                <w:rFonts w:asciiTheme="minorHAnsi" w:hAnsiTheme="minorHAnsi" w:cstheme="minorHAnsi"/>
                <w:sz w:val="20"/>
              </w:rPr>
              <w:t>-genfusie moet voor nazicht aan de sponsor worden bezorgd in het kader van de screening. Een positieve immuunhistochemie (IHC) alleen volstaat niet om in aanmerking te komen voor deelname aan het programma.</w:t>
            </w:r>
          </w:p>
        </w:tc>
      </w:tr>
      <w:tr w:rsidR="003A4FA1" w:rsidRPr="00356562" w:rsidTr="00B279BE">
        <w:trPr>
          <w:cantSplit/>
          <w:trHeight w:val="110"/>
        </w:trPr>
        <w:tc>
          <w:tcPr>
            <w:tcW w:w="9889" w:type="dxa"/>
          </w:tcPr>
          <w:p w:rsidR="003A4FA1" w:rsidRPr="003A4FA1" w:rsidRDefault="003A4FA1" w:rsidP="003A4FA1">
            <w:pPr>
              <w:pStyle w:val="Lijstalinea"/>
              <w:numPr>
                <w:ilvl w:val="0"/>
                <w:numId w:val="25"/>
              </w:numPr>
              <w:autoSpaceDE w:val="0"/>
              <w:autoSpaceDN w:val="0"/>
              <w:adjustRightInd w:val="0"/>
              <w:jc w:val="both"/>
              <w:rPr>
                <w:rFonts w:asciiTheme="minorHAnsi" w:hAnsiTheme="minorHAnsi" w:cstheme="minorHAnsi"/>
                <w:sz w:val="20"/>
              </w:rPr>
            </w:pPr>
            <w:r w:rsidRPr="003A4FA1">
              <w:rPr>
                <w:rFonts w:asciiTheme="minorHAnsi" w:hAnsiTheme="minorHAnsi" w:cstheme="minorHAnsi"/>
                <w:color w:val="000000"/>
                <w:sz w:val="20"/>
              </w:rPr>
              <w:t>De patiënt komt niet in aanmerking voor een lopend klinisch onderzoek met larotrectinib en/of een lopend klinisch onderzoek in de beoogde indicatie van dit programma.</w:t>
            </w:r>
          </w:p>
        </w:tc>
      </w:tr>
      <w:tr w:rsidR="003A4FA1" w:rsidRPr="00356562" w:rsidTr="00B279BE">
        <w:trPr>
          <w:cantSplit/>
          <w:trHeight w:val="110"/>
        </w:trPr>
        <w:tc>
          <w:tcPr>
            <w:tcW w:w="9889" w:type="dxa"/>
          </w:tcPr>
          <w:p w:rsidR="003A4FA1" w:rsidRPr="003A4FA1" w:rsidRDefault="003A4FA1" w:rsidP="003A4FA1">
            <w:pPr>
              <w:pStyle w:val="Lijstalinea"/>
              <w:numPr>
                <w:ilvl w:val="0"/>
                <w:numId w:val="25"/>
              </w:numPr>
              <w:ind w:left="714" w:hanging="357"/>
              <w:contextualSpacing w:val="0"/>
              <w:jc w:val="both"/>
              <w:rPr>
                <w:rFonts w:asciiTheme="minorHAnsi" w:hAnsiTheme="minorHAnsi" w:cstheme="minorHAnsi"/>
                <w:sz w:val="20"/>
              </w:rPr>
            </w:pPr>
            <w:r w:rsidRPr="003A4FA1">
              <w:rPr>
                <w:rFonts w:asciiTheme="minorHAnsi" w:hAnsiTheme="minorHAnsi" w:cstheme="minorHAnsi"/>
                <w:color w:val="000000"/>
                <w:sz w:val="20"/>
              </w:rPr>
              <w:t>De patiënt kan niet afdoende behandeld worden met goedgekeurde en op de markt beschikbare alternatieve behandelingen, in overeenstemming met klinische richtlijnen, vanwege problemen met doeltreffendheid en/of veiligheid.</w:t>
            </w:r>
          </w:p>
        </w:tc>
      </w:tr>
      <w:tr w:rsidR="003A4FA1" w:rsidRPr="00356562" w:rsidTr="00B279BE">
        <w:trPr>
          <w:cantSplit/>
          <w:trHeight w:val="110"/>
        </w:trPr>
        <w:tc>
          <w:tcPr>
            <w:tcW w:w="9889" w:type="dxa"/>
          </w:tcPr>
          <w:p w:rsidR="003A4FA1" w:rsidRPr="003A4FA1" w:rsidRDefault="003A4FA1" w:rsidP="003A4FA1">
            <w:pPr>
              <w:pStyle w:val="Lijstalinea"/>
              <w:numPr>
                <w:ilvl w:val="0"/>
                <w:numId w:val="25"/>
              </w:numPr>
              <w:ind w:left="714" w:hanging="357"/>
              <w:contextualSpacing w:val="0"/>
              <w:jc w:val="both"/>
              <w:rPr>
                <w:rFonts w:asciiTheme="minorHAnsi" w:hAnsiTheme="minorHAnsi" w:cstheme="minorHAnsi"/>
                <w:sz w:val="20"/>
              </w:rPr>
            </w:pPr>
            <w:r w:rsidRPr="003A4FA1">
              <w:rPr>
                <w:rFonts w:asciiTheme="minorHAnsi" w:hAnsiTheme="minorHAnsi" w:cstheme="minorHAnsi"/>
                <w:sz w:val="20"/>
              </w:rPr>
              <w:t>Toereikende lever- en nierfunctie bepaald binnen de 7 dagen voor het starten van de behandeling.</w:t>
            </w:r>
          </w:p>
        </w:tc>
      </w:tr>
      <w:tr w:rsidR="003A4FA1" w:rsidRPr="00356562" w:rsidTr="00B279BE">
        <w:trPr>
          <w:cantSplit/>
          <w:trHeight w:val="110"/>
        </w:trPr>
        <w:tc>
          <w:tcPr>
            <w:tcW w:w="9889" w:type="dxa"/>
          </w:tcPr>
          <w:p w:rsidR="003A4FA1" w:rsidRPr="003A4FA1" w:rsidRDefault="003A4FA1" w:rsidP="003A4FA1">
            <w:pPr>
              <w:pStyle w:val="Lijstalinea"/>
              <w:numPr>
                <w:ilvl w:val="0"/>
                <w:numId w:val="25"/>
              </w:numPr>
              <w:ind w:left="714" w:hanging="357"/>
              <w:contextualSpacing w:val="0"/>
              <w:jc w:val="both"/>
              <w:rPr>
                <w:rFonts w:asciiTheme="minorHAnsi" w:hAnsiTheme="minorHAnsi" w:cstheme="minorHAnsi"/>
                <w:sz w:val="20"/>
              </w:rPr>
            </w:pPr>
            <w:r w:rsidRPr="003A4FA1">
              <w:rPr>
                <w:rFonts w:asciiTheme="minorHAnsi" w:hAnsiTheme="minorHAnsi" w:cstheme="minorHAnsi"/>
                <w:sz w:val="20"/>
              </w:rPr>
              <w:t xml:space="preserve">Vrouwen van vruchtbare leeftijd en mannen die kinderen kunnen verwekken moeten akkoord gaan om een zeer doeltreffend voorbehoedmiddel te gebruiken indien seksueel actief en tot minstens één maand na de toediening van de laatste dosis. De behandelende arts of een aangewezen collega wordt verzocht om de patiënt te adviseren hoe een zeer effectieve anticonceptie wordt bereikt. </w:t>
            </w:r>
          </w:p>
        </w:tc>
      </w:tr>
    </w:tbl>
    <w:p w:rsidR="00E27833" w:rsidRDefault="00E278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279BE" w:rsidRPr="00356562" w:rsidTr="00DB6125">
        <w:trPr>
          <w:cantSplit/>
          <w:trHeight w:val="110"/>
        </w:trPr>
        <w:tc>
          <w:tcPr>
            <w:tcW w:w="9889" w:type="dxa"/>
            <w:shd w:val="clear" w:color="auto" w:fill="F2DBDB" w:themeFill="accent2" w:themeFillTint="33"/>
          </w:tcPr>
          <w:p w:rsidR="00DB6125" w:rsidRPr="004110CC" w:rsidRDefault="00DB6125" w:rsidP="005F0771">
            <w:pPr>
              <w:pStyle w:val="Geenafstand"/>
            </w:pPr>
            <w:r w:rsidRPr="004110CC">
              <w:t>Exclusiecriteria</w:t>
            </w:r>
          </w:p>
        </w:tc>
      </w:tr>
      <w:tr w:rsidR="003A4FA1" w:rsidRPr="004110CC" w:rsidTr="00B279BE">
        <w:trPr>
          <w:cantSplit/>
          <w:trHeight w:val="110"/>
        </w:trPr>
        <w:tc>
          <w:tcPr>
            <w:tcW w:w="9889" w:type="dxa"/>
          </w:tcPr>
          <w:p w:rsidR="003A4FA1" w:rsidRPr="003A4FA1" w:rsidRDefault="003A4FA1" w:rsidP="003A4FA1">
            <w:pPr>
              <w:pStyle w:val="Lijstalinea"/>
              <w:numPr>
                <w:ilvl w:val="0"/>
                <w:numId w:val="27"/>
              </w:numPr>
              <w:ind w:hanging="357"/>
              <w:contextualSpacing w:val="0"/>
              <w:jc w:val="both"/>
              <w:rPr>
                <w:rFonts w:asciiTheme="minorHAnsi" w:hAnsiTheme="minorHAnsi" w:cstheme="minorHAnsi"/>
                <w:sz w:val="20"/>
              </w:rPr>
            </w:pPr>
            <w:r w:rsidRPr="003A4FA1">
              <w:rPr>
                <w:rFonts w:asciiTheme="minorHAnsi" w:hAnsiTheme="minorHAnsi" w:cstheme="minorHAnsi"/>
                <w:sz w:val="20"/>
              </w:rPr>
              <w:t xml:space="preserve">Een experimenteel geneesmiddel of kankertherapie minder dan 2 weken voor de geplande start met larotrectinib of 5 </w:t>
            </w:r>
            <w:r w:rsidRPr="003A4FA1">
              <w:rPr>
                <w:rFonts w:asciiTheme="minorHAnsi" w:eastAsia="Arial" w:hAnsiTheme="minorHAnsi" w:cstheme="minorHAnsi"/>
                <w:sz w:val="20"/>
              </w:rPr>
              <w:t>halfwaardetijd</w:t>
            </w:r>
            <w:r w:rsidRPr="003A4FA1">
              <w:rPr>
                <w:rFonts w:asciiTheme="minorHAnsi" w:hAnsiTheme="minorHAnsi" w:cstheme="minorHAnsi"/>
                <w:sz w:val="20"/>
              </w:rPr>
              <w:t>en (de kortste tijd van de twee) en zonder herstel van klinisch significante toxiciteit als gevolg van die behandeling.</w:t>
            </w:r>
          </w:p>
        </w:tc>
      </w:tr>
      <w:tr w:rsidR="003A4FA1" w:rsidRPr="004110CC" w:rsidTr="00B279BE">
        <w:trPr>
          <w:cantSplit/>
          <w:trHeight w:val="110"/>
        </w:trPr>
        <w:tc>
          <w:tcPr>
            <w:tcW w:w="9889" w:type="dxa"/>
          </w:tcPr>
          <w:p w:rsidR="003A4FA1" w:rsidRPr="003A4FA1" w:rsidRDefault="003A4FA1" w:rsidP="003A4FA1">
            <w:pPr>
              <w:pStyle w:val="Lijstalinea"/>
              <w:numPr>
                <w:ilvl w:val="0"/>
                <w:numId w:val="27"/>
              </w:numPr>
              <w:ind w:hanging="357"/>
              <w:contextualSpacing w:val="0"/>
              <w:jc w:val="both"/>
              <w:rPr>
                <w:rFonts w:asciiTheme="minorHAnsi" w:hAnsiTheme="minorHAnsi" w:cstheme="minorHAnsi"/>
                <w:sz w:val="20"/>
              </w:rPr>
            </w:pPr>
            <w:r w:rsidRPr="003A4FA1">
              <w:rPr>
                <w:rFonts w:asciiTheme="minorHAnsi" w:hAnsiTheme="minorHAnsi" w:cstheme="minorHAnsi"/>
                <w:sz w:val="20"/>
              </w:rPr>
              <w:t xml:space="preserve">Eerdere progressie van de tumor tijdens behandeling met een goedgekeurde of experimentele </w:t>
            </w:r>
            <w:r w:rsidRPr="003A4FA1">
              <w:rPr>
                <w:rFonts w:asciiTheme="minorHAnsi" w:eastAsia="Arial" w:hAnsiTheme="minorHAnsi" w:cstheme="minorHAnsi"/>
                <w:sz w:val="20"/>
              </w:rPr>
              <w:t>tyrosinekinaseremmer gericht op TRK</w:t>
            </w:r>
            <w:r w:rsidRPr="003A4FA1">
              <w:rPr>
                <w:rFonts w:asciiTheme="minorHAnsi" w:hAnsiTheme="minorHAnsi" w:cstheme="minorHAnsi"/>
                <w:sz w:val="20"/>
              </w:rPr>
              <w:t>. Patiënten die gedurende minder dan 28 dagen werden behandeld en de behandeling hebben stopgezet wegens intolerantie of toxiciteit, mogen wel aan het programma deelnemen.</w:t>
            </w:r>
          </w:p>
        </w:tc>
      </w:tr>
      <w:tr w:rsidR="003A4FA1" w:rsidRPr="004110CC" w:rsidTr="00B279BE">
        <w:trPr>
          <w:cantSplit/>
          <w:trHeight w:val="110"/>
        </w:trPr>
        <w:tc>
          <w:tcPr>
            <w:tcW w:w="9889" w:type="dxa"/>
          </w:tcPr>
          <w:p w:rsidR="003A4FA1" w:rsidRPr="003A4FA1" w:rsidRDefault="003A4FA1" w:rsidP="003A4FA1">
            <w:pPr>
              <w:pStyle w:val="Lijstalinea"/>
              <w:numPr>
                <w:ilvl w:val="0"/>
                <w:numId w:val="27"/>
              </w:numPr>
              <w:ind w:hanging="357"/>
              <w:contextualSpacing w:val="0"/>
              <w:jc w:val="both"/>
              <w:rPr>
                <w:rFonts w:asciiTheme="minorHAnsi" w:hAnsiTheme="minorHAnsi" w:cstheme="minorHAnsi"/>
                <w:sz w:val="20"/>
              </w:rPr>
            </w:pPr>
            <w:r w:rsidRPr="003A4FA1">
              <w:rPr>
                <w:rFonts w:asciiTheme="minorHAnsi" w:hAnsiTheme="minorHAnsi" w:cstheme="minorHAnsi"/>
                <w:sz w:val="20"/>
              </w:rPr>
              <w:lastRenderedPageBreak/>
              <w:t xml:space="preserve">Symptomatische of instabiele hersenmetastasen. (Opm.: patiënten met asymptomatische hersenmetastasen mogen wel aan het programma deelnemen.) </w:t>
            </w:r>
          </w:p>
        </w:tc>
      </w:tr>
      <w:tr w:rsidR="003A4FA1" w:rsidRPr="004110CC" w:rsidTr="00B279BE">
        <w:trPr>
          <w:cantSplit/>
          <w:trHeight w:val="110"/>
        </w:trPr>
        <w:tc>
          <w:tcPr>
            <w:tcW w:w="9889" w:type="dxa"/>
          </w:tcPr>
          <w:p w:rsidR="003A4FA1" w:rsidRPr="003A4FA1" w:rsidRDefault="003A4FA1" w:rsidP="003A4FA1">
            <w:pPr>
              <w:pStyle w:val="Lijstalinea"/>
              <w:numPr>
                <w:ilvl w:val="0"/>
                <w:numId w:val="27"/>
              </w:numPr>
              <w:ind w:hanging="357"/>
              <w:contextualSpacing w:val="0"/>
              <w:jc w:val="both"/>
              <w:rPr>
                <w:rFonts w:asciiTheme="minorHAnsi" w:hAnsiTheme="minorHAnsi" w:cstheme="minorHAnsi"/>
                <w:sz w:val="20"/>
              </w:rPr>
            </w:pPr>
            <w:r w:rsidRPr="003A4FA1">
              <w:rPr>
                <w:rFonts w:asciiTheme="minorHAnsi" w:hAnsiTheme="minorHAnsi" w:cstheme="minorHAnsi"/>
                <w:sz w:val="20"/>
              </w:rPr>
              <w:t>Actieve, ongecontroleerde, systemische bacteriële, virale of fungusinfectie, instabiele cardiovasculaire aandoening of een andere systemische ziekte die het naleven van de studieprocedures zou bemoeilijken.</w:t>
            </w:r>
          </w:p>
        </w:tc>
      </w:tr>
      <w:tr w:rsidR="003A4FA1" w:rsidRPr="004110CC" w:rsidTr="00B279BE">
        <w:trPr>
          <w:cantSplit/>
          <w:trHeight w:val="110"/>
        </w:trPr>
        <w:tc>
          <w:tcPr>
            <w:tcW w:w="9889" w:type="dxa"/>
          </w:tcPr>
          <w:p w:rsidR="003A4FA1" w:rsidRPr="003A4FA1" w:rsidRDefault="003A4FA1" w:rsidP="003A4FA1">
            <w:pPr>
              <w:pStyle w:val="Lijstalinea"/>
              <w:numPr>
                <w:ilvl w:val="0"/>
                <w:numId w:val="27"/>
              </w:numPr>
              <w:ind w:hanging="357"/>
              <w:contextualSpacing w:val="0"/>
              <w:jc w:val="both"/>
              <w:rPr>
                <w:rFonts w:asciiTheme="minorHAnsi" w:hAnsiTheme="minorHAnsi" w:cstheme="minorHAnsi"/>
                <w:sz w:val="20"/>
              </w:rPr>
            </w:pPr>
            <w:r w:rsidRPr="003A4FA1">
              <w:rPr>
                <w:rFonts w:asciiTheme="minorHAnsi" w:hAnsiTheme="minorHAnsi" w:cstheme="minorHAnsi"/>
                <w:sz w:val="20"/>
              </w:rPr>
              <w:t>Een instabiele cardiovasculaire aandoening wordt gedefinieerd als:</w:t>
            </w:r>
          </w:p>
        </w:tc>
      </w:tr>
      <w:tr w:rsidR="003A4FA1" w:rsidRPr="004110CC" w:rsidTr="00B279BE">
        <w:trPr>
          <w:cantSplit/>
          <w:trHeight w:val="110"/>
        </w:trPr>
        <w:tc>
          <w:tcPr>
            <w:tcW w:w="9889" w:type="dxa"/>
          </w:tcPr>
          <w:p w:rsidR="003A4FA1" w:rsidRPr="003A4FA1" w:rsidRDefault="003A4FA1" w:rsidP="003A4FA1">
            <w:pPr>
              <w:pStyle w:val="Lijstalinea"/>
              <w:numPr>
                <w:ilvl w:val="1"/>
                <w:numId w:val="44"/>
              </w:numPr>
              <w:ind w:hanging="357"/>
              <w:contextualSpacing w:val="0"/>
              <w:jc w:val="both"/>
              <w:rPr>
                <w:rFonts w:asciiTheme="minorHAnsi" w:hAnsiTheme="minorHAnsi" w:cstheme="minorHAnsi"/>
                <w:sz w:val="20"/>
              </w:rPr>
            </w:pPr>
            <w:r w:rsidRPr="003A4FA1">
              <w:rPr>
                <w:rFonts w:asciiTheme="minorHAnsi" w:hAnsiTheme="minorHAnsi" w:cstheme="minorHAnsi"/>
                <w:sz w:val="20"/>
              </w:rPr>
              <w:t xml:space="preserve">persisterende ongecontroleerde </w:t>
            </w:r>
            <w:r w:rsidRPr="003A4FA1">
              <w:rPr>
                <w:rFonts w:asciiTheme="minorHAnsi" w:hAnsiTheme="minorHAnsi" w:cstheme="minorHAnsi"/>
                <w:sz w:val="20"/>
                <w:lang w:eastAsia="zh-CN"/>
              </w:rPr>
              <w:t>hypertensie</w:t>
            </w:r>
            <w:r w:rsidRPr="003A4FA1">
              <w:rPr>
                <w:rFonts w:asciiTheme="minorHAnsi" w:hAnsiTheme="minorHAnsi" w:cstheme="minorHAnsi"/>
                <w:sz w:val="20"/>
              </w:rPr>
              <w:t xml:space="preserve">, gedefinieerd als een </w:t>
            </w:r>
            <w:r w:rsidRPr="003A4FA1">
              <w:rPr>
                <w:rFonts w:asciiTheme="minorHAnsi" w:hAnsiTheme="minorHAnsi" w:cstheme="minorHAnsi"/>
                <w:sz w:val="20"/>
                <w:lang w:eastAsia="zh-CN"/>
              </w:rPr>
              <w:t>systolische bloeddruk</w:t>
            </w:r>
            <w:r w:rsidRPr="003A4FA1">
              <w:rPr>
                <w:rFonts w:asciiTheme="minorHAnsi" w:hAnsiTheme="minorHAnsi" w:cstheme="minorHAnsi"/>
                <w:sz w:val="20"/>
              </w:rPr>
              <w:t xml:space="preserve"> &gt; 150 mmHg en/of een diastolische bloeddruk &gt; 100 mmHg ondanks een behandeling met </w:t>
            </w:r>
            <w:r w:rsidRPr="003A4FA1">
              <w:rPr>
                <w:rFonts w:asciiTheme="minorHAnsi" w:eastAsia="Cambria" w:hAnsiTheme="minorHAnsi" w:cstheme="minorHAnsi"/>
                <w:sz w:val="20"/>
              </w:rPr>
              <w:t>antihypertensiva</w:t>
            </w:r>
            <w:r w:rsidRPr="003A4FA1">
              <w:rPr>
                <w:rFonts w:asciiTheme="minorHAnsi" w:hAnsiTheme="minorHAnsi" w:cstheme="minorHAnsi"/>
                <w:sz w:val="20"/>
              </w:rPr>
              <w:t xml:space="preserve">. Bij patiënten &lt; 18 jaar: persisterende, ongecontroleerde </w:t>
            </w:r>
            <w:r w:rsidRPr="003A4FA1">
              <w:rPr>
                <w:rFonts w:asciiTheme="minorHAnsi" w:hAnsiTheme="minorHAnsi" w:cstheme="minorHAnsi"/>
                <w:sz w:val="20"/>
                <w:lang w:eastAsia="zh-CN"/>
              </w:rPr>
              <w:t>hypertensie</w:t>
            </w:r>
            <w:r w:rsidRPr="003A4FA1">
              <w:rPr>
                <w:rFonts w:asciiTheme="minorHAnsi" w:hAnsiTheme="minorHAnsi" w:cstheme="minorHAnsi"/>
                <w:sz w:val="20"/>
              </w:rPr>
              <w:t xml:space="preserve"> gedefinieerd als een bloeddruk in het 95</w:t>
            </w:r>
            <w:r w:rsidRPr="003A4FA1">
              <w:rPr>
                <w:rFonts w:asciiTheme="minorHAnsi" w:hAnsiTheme="minorHAnsi" w:cstheme="minorHAnsi"/>
                <w:sz w:val="20"/>
                <w:vertAlign w:val="superscript"/>
              </w:rPr>
              <w:t>e</w:t>
            </w:r>
            <w:r w:rsidRPr="003A4FA1">
              <w:rPr>
                <w:rFonts w:asciiTheme="minorHAnsi" w:hAnsiTheme="minorHAnsi" w:cstheme="minorHAnsi"/>
                <w:sz w:val="20"/>
              </w:rPr>
              <w:t xml:space="preserve"> percentiel of hoger ondanks een behandeling met </w:t>
            </w:r>
            <w:r w:rsidRPr="003A4FA1">
              <w:rPr>
                <w:rFonts w:asciiTheme="minorHAnsi" w:eastAsia="Cambria" w:hAnsiTheme="minorHAnsi" w:cstheme="minorHAnsi"/>
                <w:sz w:val="20"/>
              </w:rPr>
              <w:t>antihypertensiva</w:t>
            </w:r>
            <w:r w:rsidRPr="003A4FA1">
              <w:rPr>
                <w:rFonts w:asciiTheme="minorHAnsi" w:hAnsiTheme="minorHAnsi" w:cstheme="minorHAnsi"/>
                <w:sz w:val="20"/>
              </w:rPr>
              <w:t xml:space="preserve">. </w:t>
            </w:r>
          </w:p>
        </w:tc>
      </w:tr>
      <w:tr w:rsidR="003A4FA1" w:rsidRPr="00F64D9D" w:rsidTr="00B279BE">
        <w:trPr>
          <w:cantSplit/>
          <w:trHeight w:val="110"/>
        </w:trPr>
        <w:tc>
          <w:tcPr>
            <w:tcW w:w="9889" w:type="dxa"/>
          </w:tcPr>
          <w:p w:rsidR="003A4FA1" w:rsidRPr="003A4FA1" w:rsidRDefault="003A4FA1" w:rsidP="003A4FA1">
            <w:pPr>
              <w:pStyle w:val="Lijstalinea"/>
              <w:numPr>
                <w:ilvl w:val="1"/>
                <w:numId w:val="44"/>
              </w:numPr>
              <w:ind w:hanging="357"/>
              <w:contextualSpacing w:val="0"/>
              <w:jc w:val="both"/>
              <w:rPr>
                <w:rFonts w:asciiTheme="minorHAnsi" w:hAnsiTheme="minorHAnsi" w:cstheme="minorHAnsi"/>
                <w:sz w:val="20"/>
              </w:rPr>
            </w:pPr>
            <w:r w:rsidRPr="003A4FA1">
              <w:rPr>
                <w:rFonts w:asciiTheme="minorHAnsi" w:hAnsiTheme="minorHAnsi" w:cstheme="minorHAnsi"/>
                <w:bCs/>
                <w:sz w:val="20"/>
              </w:rPr>
              <w:t>myocardinfarct</w:t>
            </w:r>
            <w:r w:rsidRPr="003A4FA1">
              <w:rPr>
                <w:rFonts w:asciiTheme="minorHAnsi" w:hAnsiTheme="minorHAnsi" w:cstheme="minorHAnsi"/>
                <w:sz w:val="20"/>
              </w:rPr>
              <w:t xml:space="preserve"> minder dan 3 maanden voor de screening.</w:t>
            </w:r>
          </w:p>
        </w:tc>
      </w:tr>
      <w:tr w:rsidR="003A4FA1" w:rsidRPr="00A705DE" w:rsidTr="00B279BE">
        <w:trPr>
          <w:cantSplit/>
          <w:trHeight w:val="110"/>
        </w:trPr>
        <w:tc>
          <w:tcPr>
            <w:tcW w:w="9889" w:type="dxa"/>
          </w:tcPr>
          <w:p w:rsidR="003A4FA1" w:rsidRPr="003A4FA1" w:rsidRDefault="003A4FA1" w:rsidP="003A4FA1">
            <w:pPr>
              <w:pStyle w:val="Lijstalinea"/>
              <w:numPr>
                <w:ilvl w:val="1"/>
                <w:numId w:val="44"/>
              </w:numPr>
              <w:ind w:hanging="357"/>
              <w:contextualSpacing w:val="0"/>
              <w:jc w:val="both"/>
              <w:rPr>
                <w:rFonts w:asciiTheme="minorHAnsi" w:hAnsiTheme="minorHAnsi" w:cstheme="minorHAnsi"/>
                <w:sz w:val="20"/>
              </w:rPr>
            </w:pPr>
            <w:r w:rsidRPr="003A4FA1">
              <w:rPr>
                <w:rFonts w:asciiTheme="minorHAnsi" w:hAnsiTheme="minorHAnsi" w:cstheme="minorHAnsi"/>
                <w:sz w:val="20"/>
              </w:rPr>
              <w:t>CVA minder dan 3 maanden voor de screening.</w:t>
            </w:r>
          </w:p>
        </w:tc>
      </w:tr>
      <w:tr w:rsidR="003A4FA1" w:rsidRPr="00A705DE" w:rsidTr="00B279BE">
        <w:trPr>
          <w:cantSplit/>
          <w:trHeight w:val="110"/>
        </w:trPr>
        <w:tc>
          <w:tcPr>
            <w:tcW w:w="9889" w:type="dxa"/>
          </w:tcPr>
          <w:p w:rsidR="003A4FA1" w:rsidRPr="003A4FA1" w:rsidRDefault="003A4FA1" w:rsidP="003A4FA1">
            <w:pPr>
              <w:pStyle w:val="Lijstalinea"/>
              <w:numPr>
                <w:ilvl w:val="0"/>
                <w:numId w:val="27"/>
              </w:numPr>
              <w:ind w:hanging="357"/>
              <w:contextualSpacing w:val="0"/>
              <w:jc w:val="both"/>
              <w:rPr>
                <w:rFonts w:asciiTheme="minorHAnsi" w:hAnsiTheme="minorHAnsi" w:cstheme="minorHAnsi"/>
                <w:sz w:val="20"/>
              </w:rPr>
            </w:pPr>
            <w:r w:rsidRPr="003A4FA1">
              <w:rPr>
                <w:rFonts w:asciiTheme="minorHAnsi" w:hAnsiTheme="minorHAnsi" w:cstheme="minorHAnsi"/>
                <w:sz w:val="20"/>
              </w:rPr>
              <w:t>Een krachtige CYP3A4-remmer of -inductor voor de start van de behandeling niet kunnen stopzetten.</w:t>
            </w:r>
          </w:p>
        </w:tc>
      </w:tr>
      <w:tr w:rsidR="003A4FA1" w:rsidRPr="00A705DE" w:rsidTr="00B279BE">
        <w:trPr>
          <w:cantSplit/>
          <w:trHeight w:val="110"/>
        </w:trPr>
        <w:tc>
          <w:tcPr>
            <w:tcW w:w="9889" w:type="dxa"/>
          </w:tcPr>
          <w:p w:rsidR="003A4FA1" w:rsidRPr="003A4FA1" w:rsidRDefault="003A4FA1" w:rsidP="003A4FA1">
            <w:pPr>
              <w:pStyle w:val="Lijstalinea"/>
              <w:numPr>
                <w:ilvl w:val="0"/>
                <w:numId w:val="27"/>
              </w:numPr>
              <w:ind w:hanging="357"/>
              <w:contextualSpacing w:val="0"/>
              <w:jc w:val="both"/>
              <w:rPr>
                <w:rFonts w:asciiTheme="minorHAnsi" w:hAnsiTheme="minorHAnsi" w:cstheme="minorHAnsi"/>
                <w:sz w:val="20"/>
              </w:rPr>
            </w:pPr>
            <w:r w:rsidRPr="003A4FA1">
              <w:rPr>
                <w:rFonts w:ascii="Calibri" w:hAnsi="Calibri" w:cs="Calibri"/>
                <w:sz w:val="20"/>
                <w:lang w:val="nl-NL" w:eastAsia="en-US"/>
              </w:rPr>
              <w:t>Zwangerschap of borstvoeding</w:t>
            </w:r>
          </w:p>
        </w:tc>
      </w:tr>
    </w:tbl>
    <w:p w:rsidR="00B279BE" w:rsidRPr="00A705DE" w:rsidRDefault="00B279BE" w:rsidP="00B279BE">
      <w:pPr>
        <w:pStyle w:val="Geenafstand"/>
      </w:pPr>
    </w:p>
    <w:p w:rsidR="008F7317" w:rsidRPr="00A705DE" w:rsidRDefault="008F7317" w:rsidP="008F7317">
      <w:pPr>
        <w:pStyle w:val="Geenafstand"/>
        <w:ind w:left="1984" w:right="1984"/>
        <w:jc w:val="both"/>
        <w:rPr>
          <w:i/>
        </w:rPr>
      </w:pPr>
    </w:p>
    <w:p w:rsidR="00356562" w:rsidRPr="00E5583D" w:rsidRDefault="00762F6E" w:rsidP="00A705DE">
      <w:pPr>
        <w:pStyle w:val="Kop2"/>
        <w:numPr>
          <w:ilvl w:val="0"/>
          <w:numId w:val="0"/>
        </w:numPr>
        <w:ind w:left="720" w:hanging="720"/>
        <w:rPr>
          <w:lang w:val="nl-BE"/>
        </w:rPr>
      </w:pPr>
      <w:r w:rsidRPr="00E5583D">
        <w:rPr>
          <w:lang w:val="nl-BE"/>
        </w:rPr>
        <w:t xml:space="preserve">SPECIALISATIE VAN DE VOORSCHRIJVER </w:t>
      </w:r>
    </w:p>
    <w:p w:rsidR="000A0FC5" w:rsidRDefault="00FC7B5C" w:rsidP="00E5583D">
      <w:pPr>
        <w:pStyle w:val="Geenafstand"/>
        <w:keepNext/>
        <w:spacing w:before="240" w:line="276" w:lineRule="auto"/>
        <w:ind w:left="567" w:right="567"/>
        <w:jc w:val="both"/>
      </w:pPr>
      <w:r w:rsidRPr="000A0FC5">
        <w:rPr>
          <w:b/>
        </w:rPr>
        <w:t>Specialisatie van de voorschrijver</w:t>
      </w:r>
      <w:r>
        <w:t xml:space="preserve"> </w:t>
      </w:r>
    </w:p>
    <w:p w:rsidR="000A0FC5" w:rsidRDefault="003A4FA1" w:rsidP="00E5583D">
      <w:pPr>
        <w:pStyle w:val="Geenafstand"/>
        <w:spacing w:line="276" w:lineRule="auto"/>
        <w:ind w:left="567" w:right="567"/>
        <w:jc w:val="both"/>
      </w:pPr>
      <w:r>
        <w:t>Er wordt geen andere s</w:t>
      </w:r>
      <w:r w:rsidRPr="00264E56">
        <w:t xml:space="preserve">pecialisatie </w:t>
      </w:r>
      <w:r>
        <w:t xml:space="preserve">of limitatie </w:t>
      </w:r>
      <w:r w:rsidRPr="00264E56">
        <w:t>van de voorschrijver</w:t>
      </w:r>
      <w:r>
        <w:t xml:space="preserve"> opgelegd dan die arts die gemachtigd is het CUP aan te vragen bij het FAGG.</w:t>
      </w:r>
    </w:p>
    <w:p w:rsidR="00E5583D" w:rsidRDefault="00E5583D" w:rsidP="00E5583D">
      <w:pPr>
        <w:pStyle w:val="Geenafstand"/>
        <w:spacing w:line="276" w:lineRule="auto"/>
        <w:ind w:left="567" w:right="567"/>
        <w:jc w:val="both"/>
      </w:pPr>
    </w:p>
    <w:p w:rsidR="00983F0F" w:rsidRDefault="00983F0F" w:rsidP="004E012A">
      <w:pPr>
        <w:pStyle w:val="Geenafstand"/>
        <w:ind w:left="567" w:right="567"/>
        <w:jc w:val="both"/>
      </w:pPr>
    </w:p>
    <w:p w:rsidR="00DA699E" w:rsidRPr="00DE148E" w:rsidRDefault="005F0771" w:rsidP="00A705DE">
      <w:pPr>
        <w:pStyle w:val="Kop2"/>
        <w:numPr>
          <w:ilvl w:val="0"/>
          <w:numId w:val="0"/>
        </w:numPr>
        <w:ind w:left="720" w:hanging="720"/>
        <w:rPr>
          <w:lang w:val="nl-BE"/>
        </w:rPr>
      </w:pPr>
      <w:r>
        <w:rPr>
          <w:lang w:val="nl-BE"/>
        </w:rPr>
        <w:t>BEDRAG VAN tegemoetkoming</w:t>
      </w:r>
    </w:p>
    <w:p w:rsidR="00F13569" w:rsidRPr="00D07969" w:rsidRDefault="00F13569" w:rsidP="00F13569">
      <w:pPr>
        <w:pStyle w:val="Geenafstand"/>
      </w:pPr>
    </w:p>
    <w:tbl>
      <w:tblPr>
        <w:tblStyle w:val="Tabelraster"/>
        <w:tblW w:w="9889" w:type="dxa"/>
        <w:tblLook w:val="04A0" w:firstRow="1" w:lastRow="0" w:firstColumn="1" w:lastColumn="0" w:noHBand="0" w:noVBand="1"/>
      </w:tblPr>
      <w:tblGrid>
        <w:gridCol w:w="5353"/>
        <w:gridCol w:w="4536"/>
      </w:tblGrid>
      <w:tr w:rsidR="00F13569" w:rsidRPr="00A77546" w:rsidTr="00391388">
        <w:tc>
          <w:tcPr>
            <w:tcW w:w="5353" w:type="dxa"/>
            <w:shd w:val="clear" w:color="auto" w:fill="FDE9D9" w:themeFill="accent6" w:themeFillTint="33"/>
          </w:tcPr>
          <w:p w:rsidR="005F0771" w:rsidRPr="003A4FA1" w:rsidRDefault="003A4FA1" w:rsidP="004D579D">
            <w:pPr>
              <w:keepNext/>
              <w:jc w:val="both"/>
              <w:rPr>
                <w:rFonts w:ascii="Calibri" w:hAnsi="Calibri"/>
                <w:i/>
              </w:rPr>
            </w:pPr>
            <w:r w:rsidRPr="003A4FA1">
              <w:rPr>
                <w:rFonts w:ascii="Calibri" w:hAnsi="Calibri"/>
                <w:i/>
              </w:rPr>
              <w:t>Vitrakvi</w:t>
            </w:r>
            <w:r w:rsidR="005F0771" w:rsidRPr="003A4FA1">
              <w:rPr>
                <w:rFonts w:ascii="Calibri" w:hAnsi="Calibri"/>
                <w:i/>
              </w:rPr>
              <w:t xml:space="preserve"> (</w:t>
            </w:r>
            <w:r w:rsidRPr="003A4FA1">
              <w:rPr>
                <w:rFonts w:ascii="Calibri" w:hAnsi="Calibri"/>
                <w:i/>
              </w:rPr>
              <w:t>larotrectinib</w:t>
            </w:r>
            <w:r w:rsidR="005F0771" w:rsidRPr="003A4FA1">
              <w:rPr>
                <w:rFonts w:ascii="Calibri" w:hAnsi="Calibri"/>
                <w:i/>
              </w:rPr>
              <w:t>)</w:t>
            </w:r>
          </w:p>
          <w:p w:rsidR="003A4FA1" w:rsidRPr="00C04CDA" w:rsidRDefault="003A4FA1" w:rsidP="003A4FA1">
            <w:pPr>
              <w:jc w:val="both"/>
              <w:rPr>
                <w:rFonts w:cstheme="minorHAnsi"/>
                <w:bCs/>
                <w:smallCaps/>
                <w:lang w:val="fr-BE"/>
              </w:rPr>
            </w:pPr>
            <w:r w:rsidRPr="00C04CDA">
              <w:rPr>
                <w:rFonts w:cstheme="minorHAnsi"/>
                <w:bCs/>
                <w:smallCaps/>
                <w:lang w:val="fr-BE"/>
              </w:rPr>
              <w:t xml:space="preserve">capsules 100 mg </w:t>
            </w:r>
          </w:p>
          <w:p w:rsidR="003A4FA1" w:rsidRPr="00D05AB7" w:rsidRDefault="003A4FA1" w:rsidP="003A4FA1">
            <w:pPr>
              <w:jc w:val="both"/>
              <w:rPr>
                <w:rFonts w:cstheme="minorHAnsi"/>
                <w:bCs/>
                <w:smallCaps/>
              </w:rPr>
            </w:pPr>
            <w:r w:rsidRPr="00D05AB7">
              <w:rPr>
                <w:rFonts w:cstheme="minorHAnsi"/>
                <w:bCs/>
                <w:smallCaps/>
              </w:rPr>
              <w:t xml:space="preserve">capsules 25 mg </w:t>
            </w:r>
          </w:p>
          <w:p w:rsidR="00F13569" w:rsidRPr="003A4FA1" w:rsidRDefault="003A4FA1" w:rsidP="003A4FA1">
            <w:pPr>
              <w:jc w:val="both"/>
              <w:rPr>
                <w:i/>
              </w:rPr>
            </w:pPr>
            <w:r w:rsidRPr="003A4FA1">
              <w:rPr>
                <w:rFonts w:cstheme="minorHAnsi"/>
                <w:bCs/>
                <w:smallCaps/>
                <w:sz w:val="18"/>
              </w:rPr>
              <w:t>ORALE OPLOSSING (20 MG/ML)</w:t>
            </w:r>
          </w:p>
        </w:tc>
        <w:tc>
          <w:tcPr>
            <w:tcW w:w="4536" w:type="dxa"/>
            <w:shd w:val="clear" w:color="auto" w:fill="FDE9D9" w:themeFill="accent6" w:themeFillTint="33"/>
          </w:tcPr>
          <w:p w:rsidR="00F13569" w:rsidRPr="00956A55" w:rsidRDefault="00F13569" w:rsidP="004D579D">
            <w:pPr>
              <w:keepNext/>
              <w:jc w:val="center"/>
            </w:pPr>
            <w:r w:rsidRPr="00956A55">
              <w:rPr>
                <w:rFonts w:ascii="Calibri" w:hAnsi="Calibri"/>
              </w:rPr>
              <w:t>Bedrag van tussenkomst</w:t>
            </w:r>
            <w:r w:rsidRPr="00956A55">
              <w:t xml:space="preserve"> (EURO)</w:t>
            </w:r>
          </w:p>
        </w:tc>
      </w:tr>
      <w:tr w:rsidR="00F13569" w:rsidRPr="00A77546" w:rsidTr="00391388">
        <w:tc>
          <w:tcPr>
            <w:tcW w:w="5353" w:type="dxa"/>
          </w:tcPr>
          <w:p w:rsidR="00F13569" w:rsidRPr="00495856" w:rsidRDefault="00F13569" w:rsidP="004D579D">
            <w:pPr>
              <w:keepNext/>
              <w:jc w:val="both"/>
            </w:pPr>
            <w:r w:rsidRPr="00495856">
              <w:t>Éénmalige tussenkomst voor CUP van gemengde cohorte</w:t>
            </w:r>
          </w:p>
        </w:tc>
        <w:tc>
          <w:tcPr>
            <w:tcW w:w="4536" w:type="dxa"/>
          </w:tcPr>
          <w:p w:rsidR="00F13569" w:rsidRPr="00495856" w:rsidRDefault="00F13569" w:rsidP="004D579D">
            <w:pPr>
              <w:keepNext/>
              <w:jc w:val="center"/>
            </w:pPr>
            <w:r w:rsidRPr="00495856">
              <w:t>20.</w:t>
            </w:r>
            <w:r>
              <w:t>000</w:t>
            </w:r>
            <w:r w:rsidRPr="00495856">
              <w:t xml:space="preserve"> </w:t>
            </w:r>
            <w:r w:rsidRPr="00495856">
              <w:rPr>
                <w:rFonts w:ascii="Calibri" w:hAnsi="Calibri" w:cs="Calibri"/>
              </w:rPr>
              <w:t>€</w:t>
            </w:r>
          </w:p>
        </w:tc>
      </w:tr>
      <w:tr w:rsidR="00F13569" w:rsidRPr="00A77546" w:rsidTr="00391388">
        <w:tc>
          <w:tcPr>
            <w:tcW w:w="5353" w:type="dxa"/>
          </w:tcPr>
          <w:p w:rsidR="00F13569" w:rsidRPr="001701C8" w:rsidRDefault="00F13569" w:rsidP="004110CC">
            <w:pPr>
              <w:keepNext/>
              <w:jc w:val="both"/>
            </w:pPr>
            <w:r>
              <w:t>Tussenkomst per patiënt per periode van 12 maanden behandeling</w:t>
            </w:r>
            <w:r w:rsidR="004110CC">
              <w:t xml:space="preserve"> </w:t>
            </w:r>
            <w:r w:rsidR="00391388" w:rsidRPr="00C908FD">
              <w:rPr>
                <w:sz w:val="18"/>
              </w:rPr>
              <w:t>(</w:t>
            </w:r>
            <w:r w:rsidR="004110CC">
              <w:rPr>
                <w:sz w:val="18"/>
              </w:rPr>
              <w:t>p</w:t>
            </w:r>
            <w:r w:rsidR="00391388" w:rsidRPr="00C908FD">
              <w:rPr>
                <w:sz w:val="18"/>
              </w:rPr>
              <w:t>ro rata te verminderen)</w:t>
            </w:r>
          </w:p>
        </w:tc>
        <w:tc>
          <w:tcPr>
            <w:tcW w:w="4536" w:type="dxa"/>
          </w:tcPr>
          <w:p w:rsidR="00F13569" w:rsidRPr="00495856" w:rsidRDefault="00F13569" w:rsidP="004D579D">
            <w:pPr>
              <w:keepNext/>
              <w:jc w:val="center"/>
            </w:pPr>
            <w:r>
              <w:t>2.500</w:t>
            </w:r>
            <w:r w:rsidRPr="00495856">
              <w:t xml:space="preserve"> </w:t>
            </w:r>
            <w:r w:rsidRPr="00495856">
              <w:rPr>
                <w:rFonts w:ascii="Calibri" w:hAnsi="Calibri" w:cs="Calibri"/>
              </w:rPr>
              <w:t>€</w:t>
            </w:r>
          </w:p>
        </w:tc>
      </w:tr>
    </w:tbl>
    <w:p w:rsidR="00F13569" w:rsidRDefault="00F13569" w:rsidP="00F13569">
      <w:pPr>
        <w:pStyle w:val="Geenafstand"/>
        <w:ind w:left="1440" w:right="850"/>
        <w:jc w:val="both"/>
      </w:pPr>
    </w:p>
    <w:p w:rsidR="00D921A4" w:rsidRPr="009F4943" w:rsidRDefault="00D921A4" w:rsidP="009F4943">
      <w:pPr>
        <w:pStyle w:val="Geenafstand"/>
        <w:spacing w:after="120"/>
      </w:pPr>
    </w:p>
    <w:sectPr w:rsidR="00D921A4" w:rsidRPr="009F4943" w:rsidSect="009015A3">
      <w:headerReference w:type="default" r:id="rId8"/>
      <w:footerReference w:type="default" r:id="rId9"/>
      <w:pgSz w:w="12240" w:h="15840"/>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4E" w:rsidRDefault="00FB1F4E">
      <w:pPr>
        <w:spacing w:line="240" w:lineRule="auto"/>
      </w:pPr>
      <w:r>
        <w:separator/>
      </w:r>
    </w:p>
  </w:endnote>
  <w:endnote w:type="continuationSeparator" w:id="0">
    <w:p w:rsidR="00FB1F4E" w:rsidRDefault="00FB1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161528"/>
      <w:docPartObj>
        <w:docPartGallery w:val="Page Numbers (Bottom of Page)"/>
        <w:docPartUnique/>
      </w:docPartObj>
    </w:sdtPr>
    <w:sdtEndPr/>
    <w:sdtContent>
      <w:p w:rsidR="00FB1F4E" w:rsidRDefault="00FB1F4E">
        <w:pPr>
          <w:pStyle w:val="Voettekst"/>
        </w:pPr>
      </w:p>
      <w:tbl>
        <w:tblPr>
          <w:tblW w:w="5000" w:type="pct"/>
          <w:tblCellMar>
            <w:top w:w="72" w:type="dxa"/>
            <w:left w:w="115" w:type="dxa"/>
            <w:bottom w:w="72" w:type="dxa"/>
            <w:right w:w="115" w:type="dxa"/>
          </w:tblCellMar>
          <w:tblLook w:val="04A0" w:firstRow="1" w:lastRow="0" w:firstColumn="1" w:lastColumn="0" w:noHBand="0" w:noVBand="1"/>
        </w:tblPr>
        <w:tblGrid>
          <w:gridCol w:w="997"/>
          <w:gridCol w:w="8975"/>
        </w:tblGrid>
        <w:tr w:rsidR="00FB1F4E" w:rsidRPr="00EE15BE" w:rsidTr="009015A3">
          <w:tc>
            <w:tcPr>
              <w:tcW w:w="500" w:type="pct"/>
              <w:tcBorders>
                <w:top w:val="single" w:sz="4" w:space="0" w:color="943634" w:themeColor="accent2" w:themeShade="BF"/>
              </w:tcBorders>
              <w:shd w:val="clear" w:color="auto" w:fill="943634" w:themeFill="accent2" w:themeFillShade="BF"/>
            </w:tcPr>
            <w:p w:rsidR="00FB1F4E" w:rsidRPr="00F16A8E" w:rsidRDefault="00FB1F4E" w:rsidP="009015A3">
              <w:pPr>
                <w:tabs>
                  <w:tab w:val="center" w:pos="4680"/>
                  <w:tab w:val="right" w:pos="9360"/>
                </w:tabs>
                <w:spacing w:line="240" w:lineRule="auto"/>
                <w:jc w:val="right"/>
                <w:rPr>
                  <w:b/>
                  <w:bCs/>
                  <w:color w:val="FFFFFF" w:themeColor="background1"/>
                </w:rPr>
              </w:pPr>
              <w:r w:rsidRPr="00F16A8E">
                <w:fldChar w:fldCharType="begin"/>
              </w:r>
              <w:r w:rsidRPr="00F16A8E">
                <w:instrText>PAGE   \* MERGEFORMAT</w:instrText>
              </w:r>
              <w:r w:rsidRPr="00F16A8E">
                <w:fldChar w:fldCharType="separate"/>
              </w:r>
              <w:r w:rsidR="00C77F5C" w:rsidRPr="00C77F5C">
                <w:rPr>
                  <w:noProof/>
                  <w:color w:val="FFFFFF" w:themeColor="background1"/>
                  <w:lang w:val="nl-NL"/>
                </w:rPr>
                <w:t>1</w:t>
              </w:r>
              <w:r w:rsidRPr="00F16A8E">
                <w:rPr>
                  <w:color w:val="FFFFFF" w:themeColor="background1"/>
                </w:rPr>
                <w:fldChar w:fldCharType="end"/>
              </w:r>
            </w:p>
          </w:tc>
          <w:tc>
            <w:tcPr>
              <w:tcW w:w="4500" w:type="pct"/>
              <w:tcBorders>
                <w:top w:val="single" w:sz="4" w:space="0" w:color="auto"/>
              </w:tcBorders>
            </w:tcPr>
            <w:p w:rsidR="00FB1F4E" w:rsidRPr="002C3AB0" w:rsidRDefault="00FB1F4E" w:rsidP="009015A3">
              <w:pPr>
                <w:pStyle w:val="Voettekst"/>
                <w:tabs>
                  <w:tab w:val="right" w:pos="10065"/>
                </w:tabs>
              </w:pPr>
              <w:r w:rsidRPr="002C3AB0">
                <w:t>Cohort</w:t>
              </w:r>
              <w:r>
                <w:t>beslissing “105</w:t>
              </w:r>
              <w:r w:rsidR="003A4FA1">
                <w:t>6</w:t>
              </w:r>
              <w:r>
                <w:t>” “</w:t>
              </w:r>
              <w:r w:rsidR="003A4FA1">
                <w:t>VITRAKVI</w:t>
              </w:r>
              <w:r>
                <w:t>”</w:t>
              </w:r>
              <w:r w:rsidRPr="002C3AB0">
                <w:t xml:space="preserve"> |</w:t>
              </w:r>
            </w:p>
            <w:p w:rsidR="00FB1F4E" w:rsidRPr="002C3AB0" w:rsidRDefault="00C77F5C" w:rsidP="009015A3">
              <w:pPr>
                <w:pStyle w:val="Voettekst"/>
                <w:tabs>
                  <w:tab w:val="right" w:pos="10065"/>
                </w:tabs>
                <w:rPr>
                  <w:rFonts w:ascii="Arial" w:hAnsi="Arial"/>
                  <w:color w:val="808080"/>
                  <w:sz w:val="16"/>
                </w:rPr>
              </w:pPr>
              <w:sdt>
                <w:sdtPr>
                  <w:alias w:val="Bedrijf"/>
                  <w:id w:val="2092194638"/>
                  <w:dataBinding w:prefixMappings="xmlns:ns0='http://schemas.openxmlformats.org/officeDocument/2006/extended-properties'" w:xpath="/ns0:Properties[1]/ns0:Company[1]" w:storeItemID="{6668398D-A668-4E3E-A5EB-62B293D839F1}"/>
                  <w:text/>
                </w:sdtPr>
                <w:sdtEndPr/>
                <w:sdtContent>
                  <w:r w:rsidR="00FB1F4E" w:rsidRPr="002C3AB0">
                    <w:t>R.I.Z.I.V. - I.N.A.M.I.</w:t>
                  </w:r>
                </w:sdtContent>
              </w:sdt>
            </w:p>
          </w:tc>
        </w:tr>
      </w:tbl>
      <w:p w:rsidR="00FB1F4E" w:rsidRDefault="00C77F5C">
        <w:pPr>
          <w:pStyle w:val="Voetteks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4E" w:rsidRDefault="00FB1F4E">
      <w:pPr>
        <w:spacing w:line="240" w:lineRule="auto"/>
      </w:pPr>
      <w:r>
        <w:separator/>
      </w:r>
    </w:p>
  </w:footnote>
  <w:footnote w:type="continuationSeparator" w:id="0">
    <w:p w:rsidR="00FB1F4E" w:rsidRDefault="00FB1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4E" w:rsidRPr="00C07F11" w:rsidRDefault="00FB1F4E" w:rsidP="00C07F11">
    <w:pPr>
      <w:pStyle w:val="Koptekst"/>
      <w:tabs>
        <w:tab w:val="clear" w:pos="4680"/>
        <w:tab w:val="clear" w:pos="9360"/>
        <w:tab w:val="left" w:pos="2955"/>
      </w:tabs>
      <w:rPr>
        <w:color w:val="808080" w:themeColor="background1" w:themeShade="80"/>
        <w:sz w:val="18"/>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2"/>
      <w:lvlJc w:val="left"/>
      <w:rPr>
        <w:b/>
        <w:bCs/>
        <w:i w:val="0"/>
        <w:iCs w:val="0"/>
        <w:smallCaps w:val="0"/>
        <w:strike w:val="0"/>
        <w:color w:val="000000"/>
        <w:spacing w:val="0"/>
        <w:w w:val="100"/>
        <w:position w:val="0"/>
        <w:sz w:val="21"/>
        <w:szCs w:val="21"/>
        <w:u w:val="none"/>
      </w:rPr>
    </w:lvl>
    <w:lvl w:ilvl="2">
      <w:start w:val="1"/>
      <w:numFmt w:val="decimal"/>
      <w:lvlText w:val="%1.%2"/>
      <w:lvlJc w:val="left"/>
      <w:rPr>
        <w:b/>
        <w:bCs/>
        <w:i w:val="0"/>
        <w:iCs w:val="0"/>
        <w:smallCaps w:val="0"/>
        <w:strike w:val="0"/>
        <w:color w:val="000000"/>
        <w:spacing w:val="0"/>
        <w:w w:val="100"/>
        <w:position w:val="0"/>
        <w:sz w:val="21"/>
        <w:szCs w:val="21"/>
        <w:u w:val="none"/>
      </w:rPr>
    </w:lvl>
    <w:lvl w:ilvl="3">
      <w:start w:val="1"/>
      <w:numFmt w:val="decimal"/>
      <w:lvlText w:val="%1.%2"/>
      <w:lvlJc w:val="left"/>
      <w:rPr>
        <w:b/>
        <w:bCs/>
        <w:i w:val="0"/>
        <w:iCs w:val="0"/>
        <w:smallCaps w:val="0"/>
        <w:strike w:val="0"/>
        <w:color w:val="000000"/>
        <w:spacing w:val="0"/>
        <w:w w:val="100"/>
        <w:position w:val="0"/>
        <w:sz w:val="21"/>
        <w:szCs w:val="21"/>
        <w:u w:val="none"/>
      </w:rPr>
    </w:lvl>
    <w:lvl w:ilvl="4">
      <w:start w:val="1"/>
      <w:numFmt w:val="decimal"/>
      <w:lvlText w:val="%1.%2"/>
      <w:lvlJc w:val="left"/>
      <w:rPr>
        <w:b/>
        <w:bCs/>
        <w:i w:val="0"/>
        <w:iCs w:val="0"/>
        <w:smallCaps w:val="0"/>
        <w:strike w:val="0"/>
        <w:color w:val="000000"/>
        <w:spacing w:val="0"/>
        <w:w w:val="100"/>
        <w:position w:val="0"/>
        <w:sz w:val="21"/>
        <w:szCs w:val="21"/>
        <w:u w:val="none"/>
      </w:rPr>
    </w:lvl>
    <w:lvl w:ilvl="5">
      <w:start w:val="1"/>
      <w:numFmt w:val="decimal"/>
      <w:lvlText w:val="%1.%2"/>
      <w:lvlJc w:val="left"/>
      <w:rPr>
        <w:b/>
        <w:bCs/>
        <w:i w:val="0"/>
        <w:iCs w:val="0"/>
        <w:smallCaps w:val="0"/>
        <w:strike w:val="0"/>
        <w:color w:val="000000"/>
        <w:spacing w:val="0"/>
        <w:w w:val="100"/>
        <w:position w:val="0"/>
        <w:sz w:val="21"/>
        <w:szCs w:val="21"/>
        <w:u w:val="none"/>
      </w:rPr>
    </w:lvl>
    <w:lvl w:ilvl="6">
      <w:start w:val="1"/>
      <w:numFmt w:val="decimal"/>
      <w:lvlText w:val="%1.%2"/>
      <w:lvlJc w:val="left"/>
      <w:rPr>
        <w:b/>
        <w:bCs/>
        <w:i w:val="0"/>
        <w:iCs w:val="0"/>
        <w:smallCaps w:val="0"/>
        <w:strike w:val="0"/>
        <w:color w:val="000000"/>
        <w:spacing w:val="0"/>
        <w:w w:val="100"/>
        <w:position w:val="0"/>
        <w:sz w:val="21"/>
        <w:szCs w:val="21"/>
        <w:u w:val="none"/>
      </w:rPr>
    </w:lvl>
    <w:lvl w:ilvl="7">
      <w:start w:val="1"/>
      <w:numFmt w:val="decimal"/>
      <w:lvlText w:val="%1.%2"/>
      <w:lvlJc w:val="left"/>
      <w:rPr>
        <w:b/>
        <w:bCs/>
        <w:i w:val="0"/>
        <w:iCs w:val="0"/>
        <w:smallCaps w:val="0"/>
        <w:strike w:val="0"/>
        <w:color w:val="000000"/>
        <w:spacing w:val="0"/>
        <w:w w:val="100"/>
        <w:position w:val="0"/>
        <w:sz w:val="21"/>
        <w:szCs w:val="21"/>
        <w:u w:val="none"/>
      </w:rPr>
    </w:lvl>
    <w:lvl w:ilvl="8">
      <w:start w:val="1"/>
      <w:numFmt w:val="decimal"/>
      <w:lvlText w:val="%1.%2"/>
      <w:lvlJc w:val="left"/>
      <w:rPr>
        <w:b/>
        <w:bCs/>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490E76"/>
    <w:multiLevelType w:val="hybridMultilevel"/>
    <w:tmpl w:val="3F2AB682"/>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 w15:restartNumberingAfterBreak="0">
    <w:nsid w:val="07F03D3D"/>
    <w:multiLevelType w:val="hybridMultilevel"/>
    <w:tmpl w:val="2FD43D24"/>
    <w:lvl w:ilvl="0" w:tplc="CDF4B9EA">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D174F3"/>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6349E"/>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664DD"/>
    <w:multiLevelType w:val="hybridMultilevel"/>
    <w:tmpl w:val="89C84AF6"/>
    <w:lvl w:ilvl="0" w:tplc="AFFA88E4">
      <w:start w:val="1"/>
      <w:numFmt w:val="decimal"/>
      <w:lvlText w:val="%1."/>
      <w:lvlJc w:val="left"/>
      <w:pPr>
        <w:ind w:left="720" w:hanging="360"/>
      </w:pPr>
      <w:rPr>
        <w:sz w:val="18"/>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7" w15:restartNumberingAfterBreak="0">
    <w:nsid w:val="15AD4563"/>
    <w:multiLevelType w:val="hybridMultilevel"/>
    <w:tmpl w:val="68A4C4BE"/>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8" w15:restartNumberingAfterBreak="0">
    <w:nsid w:val="1ECB0A42"/>
    <w:multiLevelType w:val="hybridMultilevel"/>
    <w:tmpl w:val="6F628FE2"/>
    <w:lvl w:ilvl="0" w:tplc="CDF4B9E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F5A6A20"/>
    <w:multiLevelType w:val="hybridMultilevel"/>
    <w:tmpl w:val="4D2267DC"/>
    <w:lvl w:ilvl="0" w:tplc="0813000F">
      <w:start w:val="1"/>
      <w:numFmt w:val="decimal"/>
      <w:lvlText w:val="%1."/>
      <w:lvlJc w:val="left"/>
      <w:pPr>
        <w:ind w:left="720" w:hanging="360"/>
      </w:pPr>
      <w:rPr>
        <w:rFonts w:hint="default"/>
        <w:sz w:val="18"/>
      </w:rPr>
    </w:lvl>
    <w:lvl w:ilvl="1" w:tplc="08130019">
      <w:start w:val="1"/>
      <w:numFmt w:val="lowerLetter"/>
      <w:lvlText w:val="%2."/>
      <w:lvlJc w:val="left"/>
      <w:pPr>
        <w:ind w:left="1211"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1AB6270"/>
    <w:multiLevelType w:val="hybridMultilevel"/>
    <w:tmpl w:val="3D10DA56"/>
    <w:lvl w:ilvl="0" w:tplc="D604FBF4">
      <w:start w:val="1"/>
      <w:numFmt w:val="decimal"/>
      <w:lvlText w:val="%1."/>
      <w:lvlJc w:val="left"/>
      <w:pPr>
        <w:ind w:left="855" w:hanging="495"/>
      </w:pPr>
      <w:rPr>
        <w:rFonts w:ascii="Calibri" w:hAnsi="Calibri"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03372"/>
    <w:multiLevelType w:val="hybridMultilevel"/>
    <w:tmpl w:val="FED25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F2984"/>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9721A"/>
    <w:multiLevelType w:val="hybridMultilevel"/>
    <w:tmpl w:val="5C3E1A04"/>
    <w:lvl w:ilvl="0" w:tplc="CDF4B9EA">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2CA20264"/>
    <w:multiLevelType w:val="hybridMultilevel"/>
    <w:tmpl w:val="E3D8885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FC42742"/>
    <w:multiLevelType w:val="singleLevel"/>
    <w:tmpl w:val="A93AB558"/>
    <w:lvl w:ilvl="0">
      <w:start w:val="3"/>
      <w:numFmt w:val="bullet"/>
      <w:lvlText w:val="-"/>
      <w:lvlJc w:val="left"/>
      <w:pPr>
        <w:tabs>
          <w:tab w:val="num" w:pos="1140"/>
        </w:tabs>
        <w:ind w:left="1140" w:hanging="570"/>
      </w:pPr>
      <w:rPr>
        <w:rFonts w:ascii="Times New Roman" w:hAnsi="Times New Roman" w:hint="default"/>
      </w:rPr>
    </w:lvl>
  </w:abstractNum>
  <w:abstractNum w:abstractNumId="16" w15:restartNumberingAfterBreak="0">
    <w:nsid w:val="32EC53DB"/>
    <w:multiLevelType w:val="hybridMultilevel"/>
    <w:tmpl w:val="A5A63C62"/>
    <w:lvl w:ilvl="0" w:tplc="CDF4B9EA">
      <w:start w:val="1"/>
      <w:numFmt w:val="bullet"/>
      <w:lvlText w:val=""/>
      <w:lvlJc w:val="left"/>
      <w:pPr>
        <w:ind w:left="720" w:hanging="360"/>
      </w:pPr>
      <w:rPr>
        <w:rFonts w:ascii="Symbol" w:hAnsi="Symbol" w:hint="default"/>
      </w:rPr>
    </w:lvl>
    <w:lvl w:ilvl="1" w:tplc="CDF4B9EA">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6673E59"/>
    <w:multiLevelType w:val="hybridMultilevel"/>
    <w:tmpl w:val="51EEA096"/>
    <w:lvl w:ilvl="0" w:tplc="0FB4C5D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114EC1"/>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9634A"/>
    <w:multiLevelType w:val="hybridMultilevel"/>
    <w:tmpl w:val="7258343A"/>
    <w:lvl w:ilvl="0" w:tplc="04090001">
      <w:start w:val="1"/>
      <w:numFmt w:val="bullet"/>
      <w:lvlText w:val=""/>
      <w:lvlJc w:val="left"/>
      <w:pPr>
        <w:ind w:left="720" w:hanging="360"/>
      </w:pPr>
      <w:rPr>
        <w:rFonts w:ascii="Symbol" w:hAnsi="Symbol" w:hint="default"/>
      </w:rPr>
    </w:lvl>
    <w:lvl w:ilvl="1" w:tplc="1AD48E90">
      <w:numFmt w:val="bullet"/>
      <w:lvlText w:val="-"/>
      <w:lvlJc w:val="left"/>
      <w:pPr>
        <w:ind w:left="1440" w:hanging="36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44D8F"/>
    <w:multiLevelType w:val="hybridMultilevel"/>
    <w:tmpl w:val="C0DE8CAE"/>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9A69FB"/>
    <w:multiLevelType w:val="hybridMultilevel"/>
    <w:tmpl w:val="0B64679C"/>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2" w15:restartNumberingAfterBreak="0">
    <w:nsid w:val="41DD0DE5"/>
    <w:multiLevelType w:val="hybridMultilevel"/>
    <w:tmpl w:val="699AAED4"/>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3" w15:restartNumberingAfterBreak="0">
    <w:nsid w:val="43FB4676"/>
    <w:multiLevelType w:val="hybridMultilevel"/>
    <w:tmpl w:val="98C676F2"/>
    <w:lvl w:ilvl="0" w:tplc="AA0AB1AE">
      <w:start w:val="1"/>
      <w:numFmt w:val="decimal"/>
      <w:lvlText w:val="%1."/>
      <w:lvlJc w:val="left"/>
      <w:pPr>
        <w:ind w:left="927" w:hanging="360"/>
      </w:pPr>
      <w:rPr>
        <w:rFonts w:hint="default"/>
        <w:u w:val="none"/>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24" w15:restartNumberingAfterBreak="0">
    <w:nsid w:val="477B1051"/>
    <w:multiLevelType w:val="hybridMultilevel"/>
    <w:tmpl w:val="4D2267DC"/>
    <w:lvl w:ilvl="0" w:tplc="0813000F">
      <w:start w:val="1"/>
      <w:numFmt w:val="decimal"/>
      <w:lvlText w:val="%1."/>
      <w:lvlJc w:val="left"/>
      <w:pPr>
        <w:ind w:left="720" w:hanging="360"/>
      </w:pPr>
      <w:rPr>
        <w:rFonts w:hint="default"/>
        <w:sz w:val="18"/>
      </w:rPr>
    </w:lvl>
    <w:lvl w:ilvl="1" w:tplc="08130019">
      <w:start w:val="1"/>
      <w:numFmt w:val="lowerLetter"/>
      <w:lvlText w:val="%2."/>
      <w:lvlJc w:val="left"/>
      <w:pPr>
        <w:ind w:left="1211"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13E0AED"/>
    <w:multiLevelType w:val="hybridMultilevel"/>
    <w:tmpl w:val="AFDC1F2E"/>
    <w:lvl w:ilvl="0" w:tplc="0813000F">
      <w:start w:val="1"/>
      <w:numFmt w:val="decimal"/>
      <w:lvlText w:val="%1."/>
      <w:lvlJc w:val="left"/>
      <w:pPr>
        <w:ind w:left="720" w:hanging="360"/>
      </w:pPr>
      <w:rPr>
        <w:rFonts w:hint="default"/>
      </w:rPr>
    </w:lvl>
    <w:lvl w:ilvl="1" w:tplc="84CC026E">
      <w:numFmt w:val="bullet"/>
      <w:lvlText w:val="-"/>
      <w:lvlJc w:val="left"/>
      <w:pPr>
        <w:ind w:left="1440" w:hanging="360"/>
      </w:pPr>
      <w:rPr>
        <w:rFonts w:ascii="Calibri" w:eastAsiaTheme="minorEastAsia" w:hAnsi="Calibri" w:cs="Calibri"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1E75A48"/>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505F4"/>
    <w:multiLevelType w:val="hybridMultilevel"/>
    <w:tmpl w:val="FE1053E0"/>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8" w15:restartNumberingAfterBreak="0">
    <w:nsid w:val="58CC613A"/>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5147A"/>
    <w:multiLevelType w:val="hybridMultilevel"/>
    <w:tmpl w:val="96C8FF0A"/>
    <w:lvl w:ilvl="0" w:tplc="BA18A65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446180"/>
    <w:multiLevelType w:val="hybridMultilevel"/>
    <w:tmpl w:val="8738F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983FF2"/>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0150A"/>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542EC"/>
    <w:multiLevelType w:val="hybridMultilevel"/>
    <w:tmpl w:val="7B2E2D68"/>
    <w:lvl w:ilvl="0" w:tplc="022A4800">
      <w:numFmt w:val="bullet"/>
      <w:lvlText w:val="-"/>
      <w:lvlJc w:val="left"/>
      <w:pPr>
        <w:ind w:left="927" w:hanging="360"/>
      </w:pPr>
      <w:rPr>
        <w:rFonts w:ascii="Calibri" w:eastAsiaTheme="minorEastAsia" w:hAnsi="Calibri" w:cs="Calibri"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4" w15:restartNumberingAfterBreak="0">
    <w:nsid w:val="68265880"/>
    <w:multiLevelType w:val="hybridMultilevel"/>
    <w:tmpl w:val="FAC625F0"/>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5" w15:restartNumberingAfterBreak="0">
    <w:nsid w:val="72E804AA"/>
    <w:multiLevelType w:val="multilevel"/>
    <w:tmpl w:val="63E01A28"/>
    <w:lvl w:ilvl="0">
      <w:start w:val="1"/>
      <w:numFmt w:val="decimal"/>
      <w:pStyle w:val="Kop1"/>
      <w:lvlText w:val="%1."/>
      <w:lvlJc w:val="left"/>
      <w:pPr>
        <w:ind w:left="360" w:hanging="360"/>
      </w:pPr>
      <w:rPr>
        <w:rFonts w:hint="default"/>
      </w:rPr>
    </w:lvl>
    <w:lvl w:ilvl="1">
      <w:start w:val="1"/>
      <w:numFmt w:val="decimal"/>
      <w:pStyle w:val="Kop2"/>
      <w:isLgl/>
      <w:lvlText w:val="%1.%2."/>
      <w:lvlJc w:val="left"/>
      <w:pPr>
        <w:ind w:left="720" w:hanging="720"/>
      </w:pPr>
      <w:rPr>
        <w:rFonts w:hint="default"/>
      </w:rPr>
    </w:lvl>
    <w:lvl w:ilvl="2">
      <w:start w:val="1"/>
      <w:numFmt w:val="decimal"/>
      <w:pStyle w:val="Kop3"/>
      <w:isLgl/>
      <w:lvlText w:val="%1.%2.%3."/>
      <w:lvlJc w:val="left"/>
      <w:pPr>
        <w:ind w:left="720" w:hanging="720"/>
      </w:pPr>
      <w:rPr>
        <w:rFonts w:hint="default"/>
      </w:rPr>
    </w:lvl>
    <w:lvl w:ilvl="3">
      <w:start w:val="1"/>
      <w:numFmt w:val="decimal"/>
      <w:pStyle w:val="Kop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C853FD4"/>
    <w:multiLevelType w:val="hybridMultilevel"/>
    <w:tmpl w:val="4D2267DC"/>
    <w:lvl w:ilvl="0" w:tplc="0813000F">
      <w:start w:val="1"/>
      <w:numFmt w:val="decimal"/>
      <w:lvlText w:val="%1."/>
      <w:lvlJc w:val="left"/>
      <w:pPr>
        <w:ind w:left="720" w:hanging="360"/>
      </w:pPr>
      <w:rPr>
        <w:rFonts w:hint="default"/>
        <w:sz w:val="18"/>
      </w:rPr>
    </w:lvl>
    <w:lvl w:ilvl="1" w:tplc="08130019">
      <w:start w:val="1"/>
      <w:numFmt w:val="lowerLetter"/>
      <w:lvlText w:val="%2."/>
      <w:lvlJc w:val="left"/>
      <w:pPr>
        <w:ind w:left="1211"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5"/>
  </w:num>
  <w:num w:numId="2">
    <w:abstractNumId w:val="15"/>
  </w:num>
  <w:num w:numId="3">
    <w:abstractNumId w:val="10"/>
  </w:num>
  <w:num w:numId="4">
    <w:abstractNumId w:val="29"/>
  </w:num>
  <w:num w:numId="5">
    <w:abstractNumId w:val="11"/>
  </w:num>
  <w:num w:numId="6">
    <w:abstractNumId w:val="30"/>
  </w:num>
  <w:num w:numId="7">
    <w:abstractNumId w:val="35"/>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0"/>
  </w:num>
  <w:num w:numId="13">
    <w:abstractNumId w:val="1"/>
  </w:num>
  <w:num w:numId="14">
    <w:abstractNumId w:val="10"/>
  </w:num>
  <w:num w:numId="15">
    <w:abstractNumId w:val="26"/>
  </w:num>
  <w:num w:numId="16">
    <w:abstractNumId w:val="12"/>
  </w:num>
  <w:num w:numId="17">
    <w:abstractNumId w:val="4"/>
  </w:num>
  <w:num w:numId="18">
    <w:abstractNumId w:val="5"/>
  </w:num>
  <w:num w:numId="19">
    <w:abstractNumId w:val="31"/>
  </w:num>
  <w:num w:numId="20">
    <w:abstractNumId w:val="32"/>
  </w:num>
  <w:num w:numId="21">
    <w:abstractNumId w:val="18"/>
  </w:num>
  <w:num w:numId="22">
    <w:abstractNumId w:val="2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5"/>
  </w:num>
  <w:num w:numId="27">
    <w:abstractNumId w:val="20"/>
  </w:num>
  <w:num w:numId="28">
    <w:abstractNumId w:val="2"/>
  </w:num>
  <w:num w:numId="29">
    <w:abstractNumId w:val="34"/>
  </w:num>
  <w:num w:numId="30">
    <w:abstractNumId w:val="22"/>
  </w:num>
  <w:num w:numId="31">
    <w:abstractNumId w:val="21"/>
  </w:num>
  <w:num w:numId="32">
    <w:abstractNumId w:val="27"/>
  </w:num>
  <w:num w:numId="33">
    <w:abstractNumId w:val="23"/>
  </w:num>
  <w:num w:numId="34">
    <w:abstractNumId w:val="8"/>
  </w:num>
  <w:num w:numId="35">
    <w:abstractNumId w:val="3"/>
  </w:num>
  <w:num w:numId="36">
    <w:abstractNumId w:val="16"/>
  </w:num>
  <w:num w:numId="37">
    <w:abstractNumId w:val="9"/>
  </w:num>
  <w:num w:numId="38">
    <w:abstractNumId w:val="36"/>
  </w:num>
  <w:num w:numId="39">
    <w:abstractNumId w:val="13"/>
  </w:num>
  <w:num w:numId="40">
    <w:abstractNumId w:val="7"/>
  </w:num>
  <w:num w:numId="41">
    <w:abstractNumId w:val="17"/>
  </w:num>
  <w:num w:numId="42">
    <w:abstractNumId w:val="14"/>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08"/>
    <w:rsid w:val="000338B8"/>
    <w:rsid w:val="00062693"/>
    <w:rsid w:val="000629B2"/>
    <w:rsid w:val="00063E15"/>
    <w:rsid w:val="00065731"/>
    <w:rsid w:val="0007768F"/>
    <w:rsid w:val="0008254D"/>
    <w:rsid w:val="000A0FC5"/>
    <w:rsid w:val="000A11CD"/>
    <w:rsid w:val="000A30BD"/>
    <w:rsid w:val="000A707F"/>
    <w:rsid w:val="000B2400"/>
    <w:rsid w:val="000B2C6F"/>
    <w:rsid w:val="000B3867"/>
    <w:rsid w:val="000E11E7"/>
    <w:rsid w:val="000F492D"/>
    <w:rsid w:val="000F73D3"/>
    <w:rsid w:val="00130CE0"/>
    <w:rsid w:val="00154C07"/>
    <w:rsid w:val="00157401"/>
    <w:rsid w:val="0016155A"/>
    <w:rsid w:val="001701C8"/>
    <w:rsid w:val="001917D7"/>
    <w:rsid w:val="001964E8"/>
    <w:rsid w:val="00196E33"/>
    <w:rsid w:val="001A0B9A"/>
    <w:rsid w:val="001A7162"/>
    <w:rsid w:val="001D1E45"/>
    <w:rsid w:val="002116E3"/>
    <w:rsid w:val="00247747"/>
    <w:rsid w:val="0025335C"/>
    <w:rsid w:val="0025761F"/>
    <w:rsid w:val="002B404C"/>
    <w:rsid w:val="002C3AB0"/>
    <w:rsid w:val="002D3C8A"/>
    <w:rsid w:val="002D4698"/>
    <w:rsid w:val="002E1D0C"/>
    <w:rsid w:val="002E2C90"/>
    <w:rsid w:val="002F1B57"/>
    <w:rsid w:val="003001FB"/>
    <w:rsid w:val="003150F6"/>
    <w:rsid w:val="00332D29"/>
    <w:rsid w:val="00342E6F"/>
    <w:rsid w:val="00343CA2"/>
    <w:rsid w:val="00356562"/>
    <w:rsid w:val="00383280"/>
    <w:rsid w:val="00391388"/>
    <w:rsid w:val="003A45E5"/>
    <w:rsid w:val="003A4FA1"/>
    <w:rsid w:val="003B522F"/>
    <w:rsid w:val="004110CC"/>
    <w:rsid w:val="00435297"/>
    <w:rsid w:val="00484CF8"/>
    <w:rsid w:val="00495856"/>
    <w:rsid w:val="004D5397"/>
    <w:rsid w:val="004D579D"/>
    <w:rsid w:val="004E012A"/>
    <w:rsid w:val="004E4D7B"/>
    <w:rsid w:val="004F4AE7"/>
    <w:rsid w:val="0051242B"/>
    <w:rsid w:val="00513796"/>
    <w:rsid w:val="00526A31"/>
    <w:rsid w:val="00526C19"/>
    <w:rsid w:val="00545179"/>
    <w:rsid w:val="0055260A"/>
    <w:rsid w:val="005645D4"/>
    <w:rsid w:val="00576B4B"/>
    <w:rsid w:val="00590185"/>
    <w:rsid w:val="005A0E60"/>
    <w:rsid w:val="005D5FD3"/>
    <w:rsid w:val="005F0771"/>
    <w:rsid w:val="005F3F94"/>
    <w:rsid w:val="006220D9"/>
    <w:rsid w:val="00626273"/>
    <w:rsid w:val="006332E8"/>
    <w:rsid w:val="00643CD7"/>
    <w:rsid w:val="00647EFC"/>
    <w:rsid w:val="00662346"/>
    <w:rsid w:val="00685C61"/>
    <w:rsid w:val="006B3E3E"/>
    <w:rsid w:val="006D1B3F"/>
    <w:rsid w:val="006F13EA"/>
    <w:rsid w:val="006F2208"/>
    <w:rsid w:val="006F275B"/>
    <w:rsid w:val="00716EE3"/>
    <w:rsid w:val="00721FF8"/>
    <w:rsid w:val="00762F6E"/>
    <w:rsid w:val="007657E1"/>
    <w:rsid w:val="00785D88"/>
    <w:rsid w:val="0079329C"/>
    <w:rsid w:val="007A4169"/>
    <w:rsid w:val="007A433E"/>
    <w:rsid w:val="007B6319"/>
    <w:rsid w:val="007C0283"/>
    <w:rsid w:val="007C7AF4"/>
    <w:rsid w:val="007E1F0C"/>
    <w:rsid w:val="007F0B03"/>
    <w:rsid w:val="0080397B"/>
    <w:rsid w:val="008621EF"/>
    <w:rsid w:val="008B4DF3"/>
    <w:rsid w:val="008B77F9"/>
    <w:rsid w:val="008E014C"/>
    <w:rsid w:val="008E4811"/>
    <w:rsid w:val="008F68D9"/>
    <w:rsid w:val="008F7317"/>
    <w:rsid w:val="00900365"/>
    <w:rsid w:val="009015A3"/>
    <w:rsid w:val="00903A23"/>
    <w:rsid w:val="00907EF7"/>
    <w:rsid w:val="00913041"/>
    <w:rsid w:val="009349BB"/>
    <w:rsid w:val="00946CF9"/>
    <w:rsid w:val="00956A55"/>
    <w:rsid w:val="009631B8"/>
    <w:rsid w:val="00983F0F"/>
    <w:rsid w:val="00985D56"/>
    <w:rsid w:val="00992CC2"/>
    <w:rsid w:val="009A0E8E"/>
    <w:rsid w:val="009A4D31"/>
    <w:rsid w:val="009A5122"/>
    <w:rsid w:val="009A524C"/>
    <w:rsid w:val="009B27B5"/>
    <w:rsid w:val="009C6B66"/>
    <w:rsid w:val="009D7351"/>
    <w:rsid w:val="009D768F"/>
    <w:rsid w:val="009E00F7"/>
    <w:rsid w:val="009E6E62"/>
    <w:rsid w:val="009F4943"/>
    <w:rsid w:val="00A03F14"/>
    <w:rsid w:val="00A15833"/>
    <w:rsid w:val="00A318CF"/>
    <w:rsid w:val="00A31B1F"/>
    <w:rsid w:val="00A34C81"/>
    <w:rsid w:val="00A51CF4"/>
    <w:rsid w:val="00A6017B"/>
    <w:rsid w:val="00A705DE"/>
    <w:rsid w:val="00A84435"/>
    <w:rsid w:val="00AA21E3"/>
    <w:rsid w:val="00AA2A12"/>
    <w:rsid w:val="00AA3F3C"/>
    <w:rsid w:val="00AA506F"/>
    <w:rsid w:val="00AC280E"/>
    <w:rsid w:val="00AC6E2D"/>
    <w:rsid w:val="00AD652A"/>
    <w:rsid w:val="00B21831"/>
    <w:rsid w:val="00B279BE"/>
    <w:rsid w:val="00B30994"/>
    <w:rsid w:val="00B43103"/>
    <w:rsid w:val="00B66DDE"/>
    <w:rsid w:val="00B66FF6"/>
    <w:rsid w:val="00B76C23"/>
    <w:rsid w:val="00B800D4"/>
    <w:rsid w:val="00B9703F"/>
    <w:rsid w:val="00BA5A57"/>
    <w:rsid w:val="00BA6BEE"/>
    <w:rsid w:val="00BB10A4"/>
    <w:rsid w:val="00BD2BA0"/>
    <w:rsid w:val="00C00C4B"/>
    <w:rsid w:val="00C04771"/>
    <w:rsid w:val="00C07F11"/>
    <w:rsid w:val="00C55965"/>
    <w:rsid w:val="00C733B2"/>
    <w:rsid w:val="00C77F5C"/>
    <w:rsid w:val="00C9350D"/>
    <w:rsid w:val="00C93689"/>
    <w:rsid w:val="00CC440C"/>
    <w:rsid w:val="00CC72D3"/>
    <w:rsid w:val="00CD08E6"/>
    <w:rsid w:val="00CF5477"/>
    <w:rsid w:val="00CF6826"/>
    <w:rsid w:val="00D07969"/>
    <w:rsid w:val="00D44E25"/>
    <w:rsid w:val="00D63C1F"/>
    <w:rsid w:val="00D6580B"/>
    <w:rsid w:val="00D65CDD"/>
    <w:rsid w:val="00D70C89"/>
    <w:rsid w:val="00D921A4"/>
    <w:rsid w:val="00D95D7D"/>
    <w:rsid w:val="00DA699E"/>
    <w:rsid w:val="00DB4D7C"/>
    <w:rsid w:val="00DB6125"/>
    <w:rsid w:val="00DD1835"/>
    <w:rsid w:val="00DD4323"/>
    <w:rsid w:val="00DE148E"/>
    <w:rsid w:val="00DE68D3"/>
    <w:rsid w:val="00E1268F"/>
    <w:rsid w:val="00E1560E"/>
    <w:rsid w:val="00E22665"/>
    <w:rsid w:val="00E25468"/>
    <w:rsid w:val="00E27833"/>
    <w:rsid w:val="00E3732F"/>
    <w:rsid w:val="00E5583D"/>
    <w:rsid w:val="00E609F1"/>
    <w:rsid w:val="00E6688C"/>
    <w:rsid w:val="00E70906"/>
    <w:rsid w:val="00E81EDA"/>
    <w:rsid w:val="00E875AE"/>
    <w:rsid w:val="00E90728"/>
    <w:rsid w:val="00E94E1D"/>
    <w:rsid w:val="00E97B7A"/>
    <w:rsid w:val="00ED4CF3"/>
    <w:rsid w:val="00EE15BE"/>
    <w:rsid w:val="00EE3F69"/>
    <w:rsid w:val="00EF03FB"/>
    <w:rsid w:val="00EF1441"/>
    <w:rsid w:val="00F13569"/>
    <w:rsid w:val="00F26396"/>
    <w:rsid w:val="00F37C48"/>
    <w:rsid w:val="00F459C1"/>
    <w:rsid w:val="00F50950"/>
    <w:rsid w:val="00F52B17"/>
    <w:rsid w:val="00F64D9D"/>
    <w:rsid w:val="00F72687"/>
    <w:rsid w:val="00F85994"/>
    <w:rsid w:val="00F8664A"/>
    <w:rsid w:val="00F906B0"/>
    <w:rsid w:val="00F929E9"/>
    <w:rsid w:val="00F95ACB"/>
    <w:rsid w:val="00FA0629"/>
    <w:rsid w:val="00FB1F4E"/>
    <w:rsid w:val="00FB6241"/>
    <w:rsid w:val="00FC6706"/>
    <w:rsid w:val="00FC6F5F"/>
    <w:rsid w:val="00FC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97BA1-5EE3-444A-911F-D5D8FD6C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 tekst"/>
    <w:next w:val="Geenafstand"/>
    <w:qFormat/>
    <w:rsid w:val="009015A3"/>
    <w:pPr>
      <w:spacing w:after="0"/>
    </w:pPr>
    <w:rPr>
      <w:rFonts w:eastAsiaTheme="minorEastAsia"/>
      <w:sz w:val="20"/>
      <w:szCs w:val="20"/>
      <w:lang w:val="nl-BE"/>
    </w:rPr>
  </w:style>
  <w:style w:type="paragraph" w:styleId="Kop1">
    <w:name w:val="heading 1"/>
    <w:basedOn w:val="Standaard"/>
    <w:next w:val="Standaard"/>
    <w:link w:val="Kop1Char"/>
    <w:autoRedefine/>
    <w:uiPriority w:val="9"/>
    <w:qFormat/>
    <w:rsid w:val="00484CF8"/>
    <w:pPr>
      <w:keepNext/>
      <w:numPr>
        <w:numId w:val="1"/>
      </w:numPr>
      <w:pBdr>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pBdr>
      <w:shd w:val="clear" w:color="auto" w:fill="8DB3E2" w:themeFill="text2" w:themeFillTint="66"/>
      <w:ind w:left="357" w:hanging="357"/>
      <w:jc w:val="both"/>
      <w:outlineLvl w:val="0"/>
    </w:pPr>
    <w:rPr>
      <w:rFonts w:eastAsiaTheme="minorHAnsi"/>
      <w:b/>
      <w:bCs/>
      <w:caps/>
      <w:color w:val="FFFFFF" w:themeColor="background1"/>
      <w:spacing w:val="40"/>
      <w:sz w:val="24"/>
      <w:szCs w:val="22"/>
    </w:rPr>
  </w:style>
  <w:style w:type="paragraph" w:styleId="Kop2">
    <w:name w:val="heading 2"/>
    <w:basedOn w:val="Standaard"/>
    <w:next w:val="Standaard"/>
    <w:link w:val="Kop2Char"/>
    <w:autoRedefine/>
    <w:uiPriority w:val="9"/>
    <w:unhideWhenUsed/>
    <w:qFormat/>
    <w:rsid w:val="00484CF8"/>
    <w:pPr>
      <w:keepNext/>
      <w:numPr>
        <w:ilvl w:val="1"/>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rFonts w:eastAsiaTheme="minorHAnsi"/>
      <w:b/>
      <w:caps/>
      <w:color w:val="365F91" w:themeColor="accent1" w:themeShade="BF"/>
      <w:spacing w:val="15"/>
      <w:szCs w:val="24"/>
      <w:lang w:val="fr-BE"/>
    </w:rPr>
  </w:style>
  <w:style w:type="paragraph" w:styleId="Kop3">
    <w:name w:val="heading 3"/>
    <w:basedOn w:val="Kop2"/>
    <w:next w:val="Standaard"/>
    <w:link w:val="Kop3Char"/>
    <w:autoRedefine/>
    <w:uiPriority w:val="9"/>
    <w:unhideWhenUsed/>
    <w:qFormat/>
    <w:rsid w:val="009015A3"/>
    <w:pPr>
      <w:numPr>
        <w:ilvl w:val="2"/>
      </w:numPr>
      <w:pBdr>
        <w:top w:val="single" w:sz="6" w:space="2" w:color="4F81BD" w:themeColor="accent1"/>
        <w:left w:val="single" w:sz="6" w:space="2" w:color="4F81BD" w:themeColor="accent1"/>
      </w:pBdr>
      <w:outlineLvl w:val="2"/>
    </w:pPr>
    <w:rPr>
      <w:caps w:val="0"/>
      <w:color w:val="243F60" w:themeColor="accent1" w:themeShade="7F"/>
    </w:rPr>
  </w:style>
  <w:style w:type="paragraph" w:styleId="Kop4">
    <w:name w:val="heading 4"/>
    <w:basedOn w:val="Kop3"/>
    <w:next w:val="Standaard"/>
    <w:link w:val="Kop4Char"/>
    <w:autoRedefine/>
    <w:uiPriority w:val="9"/>
    <w:unhideWhenUsed/>
    <w:qFormat/>
    <w:rsid w:val="009015A3"/>
    <w:pPr>
      <w:numPr>
        <w:ilvl w:val="3"/>
      </w:numPr>
      <w:pBdr>
        <w:top w:val="dotted" w:sz="6" w:space="2" w:color="4F81BD" w:themeColor="accent1"/>
        <w:left w:val="dotted" w:sz="6" w:space="2" w:color="4F81BD" w:themeColor="accent1"/>
      </w:pBdr>
      <w:spacing w:before="240"/>
      <w:ind w:left="1077" w:hanging="1077"/>
      <w:outlineLvl w:val="3"/>
    </w:pPr>
    <w:rPr>
      <w:b w:val="0"/>
      <w:caps/>
      <w:color w:val="365F91" w:themeColor="accent1" w:themeShade="BF"/>
      <w:spacing w:val="1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4CF8"/>
    <w:rPr>
      <w:b/>
      <w:bCs/>
      <w:caps/>
      <w:color w:val="FFFFFF" w:themeColor="background1"/>
      <w:spacing w:val="40"/>
      <w:sz w:val="24"/>
      <w:shd w:val="clear" w:color="auto" w:fill="8DB3E2" w:themeFill="text2" w:themeFillTint="66"/>
      <w:lang w:val="nl-BE"/>
    </w:rPr>
  </w:style>
  <w:style w:type="character" w:customStyle="1" w:styleId="Kop2Char">
    <w:name w:val="Kop 2 Char"/>
    <w:basedOn w:val="Standaardalinea-lettertype"/>
    <w:link w:val="Kop2"/>
    <w:uiPriority w:val="9"/>
    <w:rsid w:val="00484CF8"/>
    <w:rPr>
      <w:b/>
      <w:caps/>
      <w:color w:val="365F91" w:themeColor="accent1" w:themeShade="BF"/>
      <w:spacing w:val="15"/>
      <w:sz w:val="20"/>
      <w:szCs w:val="24"/>
      <w:shd w:val="clear" w:color="auto" w:fill="DBE5F1" w:themeFill="accent1" w:themeFillTint="33"/>
      <w:lang w:val="fr-BE"/>
    </w:rPr>
  </w:style>
  <w:style w:type="character" w:customStyle="1" w:styleId="Kop3Char">
    <w:name w:val="Kop 3 Char"/>
    <w:basedOn w:val="Standaardalinea-lettertype"/>
    <w:link w:val="Kop3"/>
    <w:uiPriority w:val="9"/>
    <w:rsid w:val="009015A3"/>
    <w:rPr>
      <w:b/>
      <w:color w:val="243F60" w:themeColor="accent1" w:themeShade="7F"/>
      <w:spacing w:val="15"/>
      <w:sz w:val="24"/>
      <w:szCs w:val="24"/>
      <w:shd w:val="clear" w:color="auto" w:fill="DBE5F1" w:themeFill="accent1" w:themeFillTint="33"/>
      <w:lang w:val="fr-BE"/>
    </w:rPr>
  </w:style>
  <w:style w:type="character" w:customStyle="1" w:styleId="Kop4Char">
    <w:name w:val="Kop 4 Char"/>
    <w:basedOn w:val="Standaardalinea-lettertype"/>
    <w:link w:val="Kop4"/>
    <w:uiPriority w:val="9"/>
    <w:rsid w:val="009015A3"/>
    <w:rPr>
      <w:caps/>
      <w:color w:val="365F91" w:themeColor="accent1" w:themeShade="BF"/>
      <w:spacing w:val="10"/>
      <w:sz w:val="24"/>
      <w:szCs w:val="24"/>
      <w:shd w:val="clear" w:color="auto" w:fill="DBE5F1" w:themeFill="accent1" w:themeFillTint="33"/>
      <w:lang w:val="fr-BE"/>
    </w:rPr>
  </w:style>
  <w:style w:type="character" w:styleId="Titelvanboek">
    <w:name w:val="Book Title"/>
    <w:aliases w:val="Titel 2"/>
    <w:basedOn w:val="Subtielebenadrukking"/>
    <w:uiPriority w:val="33"/>
    <w:qFormat/>
    <w:rsid w:val="009015A3"/>
    <w:rPr>
      <w:rFonts w:ascii="Calibri" w:hAnsi="Calibri"/>
      <w:b/>
      <w:bCs/>
      <w:i w:val="0"/>
      <w:iCs w:val="0"/>
      <w:caps w:val="0"/>
      <w:smallCaps/>
      <w:color w:val="4F81BD" w:themeColor="accent1"/>
      <w:spacing w:val="30"/>
      <w:kern w:val="28"/>
      <w:sz w:val="32"/>
      <w:szCs w:val="52"/>
    </w:rPr>
  </w:style>
  <w:style w:type="paragraph" w:styleId="Titel">
    <w:name w:val="Title"/>
    <w:aliases w:val="Titel 1"/>
    <w:basedOn w:val="Standaard"/>
    <w:next w:val="Standaard"/>
    <w:link w:val="TitelChar"/>
    <w:autoRedefine/>
    <w:uiPriority w:val="10"/>
    <w:qFormat/>
    <w:rsid w:val="009015A3"/>
    <w:pPr>
      <w:spacing w:before="120"/>
      <w:jc w:val="both"/>
    </w:pPr>
    <w:rPr>
      <w:rFonts w:eastAsiaTheme="minorHAnsi"/>
      <w:caps/>
      <w:color w:val="4F81BD" w:themeColor="accent1"/>
      <w:spacing w:val="20"/>
      <w:kern w:val="28"/>
      <w:sz w:val="32"/>
      <w:szCs w:val="52"/>
    </w:rPr>
  </w:style>
  <w:style w:type="character" w:customStyle="1" w:styleId="TitelChar">
    <w:name w:val="Titel Char"/>
    <w:aliases w:val="Titel 1 Char"/>
    <w:basedOn w:val="Standaardalinea-lettertype"/>
    <w:link w:val="Titel"/>
    <w:uiPriority w:val="10"/>
    <w:rsid w:val="009015A3"/>
    <w:rPr>
      <w:caps/>
      <w:color w:val="4F81BD" w:themeColor="accent1"/>
      <w:spacing w:val="20"/>
      <w:kern w:val="28"/>
      <w:sz w:val="32"/>
      <w:szCs w:val="52"/>
      <w:lang w:val="nl-BE"/>
    </w:rPr>
  </w:style>
  <w:style w:type="paragraph" w:customStyle="1" w:styleId="Typedocument">
    <w:name w:val="Type document"/>
    <w:basedOn w:val="Kop1"/>
    <w:next w:val="Geenafstand"/>
    <w:qFormat/>
    <w:rsid w:val="009015A3"/>
    <w:pPr>
      <w:numPr>
        <w:numId w:val="0"/>
      </w:numPr>
    </w:pPr>
    <w:rPr>
      <w:rFonts w:eastAsiaTheme="minorEastAsia"/>
      <w:spacing w:val="20"/>
      <w:sz w:val="22"/>
    </w:rPr>
  </w:style>
  <w:style w:type="paragraph" w:styleId="Geenafstand">
    <w:name w:val="No Spacing"/>
    <w:uiPriority w:val="1"/>
    <w:qFormat/>
    <w:rsid w:val="009015A3"/>
    <w:pPr>
      <w:spacing w:after="0" w:line="240" w:lineRule="auto"/>
    </w:pPr>
    <w:rPr>
      <w:rFonts w:eastAsiaTheme="minorEastAsia"/>
      <w:sz w:val="20"/>
      <w:szCs w:val="20"/>
      <w:lang w:val="nl-BE"/>
    </w:rPr>
  </w:style>
  <w:style w:type="character" w:styleId="Subtielebenadrukking">
    <w:name w:val="Subtle Emphasis"/>
    <w:basedOn w:val="Standaardalinea-lettertype"/>
    <w:uiPriority w:val="19"/>
    <w:qFormat/>
    <w:rsid w:val="009015A3"/>
    <w:rPr>
      <w:i/>
      <w:iCs/>
      <w:color w:val="808080" w:themeColor="text1" w:themeTint="7F"/>
    </w:rPr>
  </w:style>
  <w:style w:type="paragraph" w:styleId="Ondertitel">
    <w:name w:val="Subtitle"/>
    <w:basedOn w:val="Standaard"/>
    <w:next w:val="Standaard"/>
    <w:link w:val="OndertitelChar"/>
    <w:uiPriority w:val="11"/>
    <w:qFormat/>
    <w:rsid w:val="009015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9015A3"/>
    <w:rPr>
      <w:rFonts w:asciiTheme="majorHAnsi" w:eastAsiaTheme="majorEastAsia" w:hAnsiTheme="majorHAnsi" w:cstheme="majorBidi"/>
      <w:i/>
      <w:iCs/>
      <w:color w:val="4F81BD" w:themeColor="accent1"/>
      <w:spacing w:val="15"/>
      <w:sz w:val="24"/>
      <w:szCs w:val="24"/>
      <w:lang w:val="nl-BE"/>
    </w:rPr>
  </w:style>
  <w:style w:type="paragraph" w:styleId="Koptekst">
    <w:name w:val="header"/>
    <w:basedOn w:val="Standaard"/>
    <w:link w:val="KoptekstChar"/>
    <w:uiPriority w:val="99"/>
    <w:unhideWhenUsed/>
    <w:rsid w:val="009015A3"/>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9015A3"/>
    <w:rPr>
      <w:rFonts w:eastAsiaTheme="minorEastAsia"/>
      <w:sz w:val="20"/>
      <w:szCs w:val="20"/>
      <w:lang w:val="nl-BE"/>
    </w:rPr>
  </w:style>
  <w:style w:type="paragraph" w:styleId="Voettekst">
    <w:name w:val="footer"/>
    <w:basedOn w:val="Standaard"/>
    <w:link w:val="VoettekstChar"/>
    <w:unhideWhenUsed/>
    <w:rsid w:val="009015A3"/>
    <w:pPr>
      <w:tabs>
        <w:tab w:val="center" w:pos="4680"/>
        <w:tab w:val="right" w:pos="9360"/>
      </w:tabs>
      <w:spacing w:line="240" w:lineRule="auto"/>
    </w:pPr>
  </w:style>
  <w:style w:type="character" w:customStyle="1" w:styleId="VoettekstChar">
    <w:name w:val="Voettekst Char"/>
    <w:basedOn w:val="Standaardalinea-lettertype"/>
    <w:link w:val="Voettekst"/>
    <w:rsid w:val="009015A3"/>
    <w:rPr>
      <w:rFonts w:eastAsiaTheme="minorEastAsia"/>
      <w:sz w:val="20"/>
      <w:szCs w:val="20"/>
      <w:lang w:val="nl-BE"/>
    </w:rPr>
  </w:style>
  <w:style w:type="table" w:styleId="Tabelraster">
    <w:name w:val="Table Grid"/>
    <w:basedOn w:val="Standaardtabel"/>
    <w:uiPriority w:val="59"/>
    <w:rsid w:val="009015A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015A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15A3"/>
    <w:rPr>
      <w:rFonts w:ascii="Tahoma" w:eastAsiaTheme="minorEastAsia" w:hAnsi="Tahoma" w:cs="Tahoma"/>
      <w:sz w:val="16"/>
      <w:szCs w:val="16"/>
      <w:lang w:val="nl-BE"/>
    </w:rPr>
  </w:style>
  <w:style w:type="paragraph" w:styleId="Lijstalinea">
    <w:name w:val="List Paragraph"/>
    <w:basedOn w:val="Standaard"/>
    <w:link w:val="LijstalineaChar"/>
    <w:uiPriority w:val="34"/>
    <w:qFormat/>
    <w:rsid w:val="00D6580B"/>
    <w:pPr>
      <w:spacing w:line="240" w:lineRule="auto"/>
      <w:ind w:left="720"/>
      <w:contextualSpacing/>
    </w:pPr>
    <w:rPr>
      <w:rFonts w:ascii="Times New Roman" w:eastAsia="Times New Roman" w:hAnsi="Times New Roman" w:cs="Times New Roman"/>
      <w:sz w:val="24"/>
      <w:lang w:eastAsia="fr-FR"/>
    </w:rPr>
  </w:style>
  <w:style w:type="character" w:customStyle="1" w:styleId="LijstalineaChar">
    <w:name w:val="Lijstalinea Char"/>
    <w:basedOn w:val="Standaardalinea-lettertype"/>
    <w:link w:val="Lijstalinea"/>
    <w:uiPriority w:val="34"/>
    <w:rsid w:val="00D6580B"/>
    <w:rPr>
      <w:rFonts w:ascii="Times New Roman" w:eastAsia="Times New Roman" w:hAnsi="Times New Roman" w:cs="Times New Roman"/>
      <w:sz w:val="24"/>
      <w:szCs w:val="20"/>
      <w:lang w:val="nl-BE" w:eastAsia="fr-FR"/>
    </w:rPr>
  </w:style>
  <w:style w:type="paragraph" w:styleId="Voetnoottekst">
    <w:name w:val="footnote text"/>
    <w:basedOn w:val="Standaard"/>
    <w:link w:val="VoetnoottekstChar"/>
    <w:uiPriority w:val="99"/>
    <w:semiHidden/>
    <w:unhideWhenUsed/>
    <w:rsid w:val="008E4811"/>
    <w:pPr>
      <w:spacing w:line="240" w:lineRule="auto"/>
    </w:pPr>
  </w:style>
  <w:style w:type="character" w:customStyle="1" w:styleId="VoetnoottekstChar">
    <w:name w:val="Voetnoottekst Char"/>
    <w:basedOn w:val="Standaardalinea-lettertype"/>
    <w:link w:val="Voetnoottekst"/>
    <w:uiPriority w:val="99"/>
    <w:semiHidden/>
    <w:rsid w:val="008E4811"/>
    <w:rPr>
      <w:rFonts w:eastAsiaTheme="minorEastAsia"/>
      <w:sz w:val="20"/>
      <w:szCs w:val="20"/>
      <w:lang w:val="nl-BE"/>
    </w:rPr>
  </w:style>
  <w:style w:type="character" w:styleId="Voetnootmarkering">
    <w:name w:val="footnote reference"/>
    <w:basedOn w:val="Standaardalinea-lettertype"/>
    <w:uiPriority w:val="99"/>
    <w:semiHidden/>
    <w:unhideWhenUsed/>
    <w:rsid w:val="008E4811"/>
    <w:rPr>
      <w:vertAlign w:val="superscript"/>
    </w:rPr>
  </w:style>
  <w:style w:type="character" w:customStyle="1" w:styleId="Bodytext2">
    <w:name w:val="Body text (2)_"/>
    <w:basedOn w:val="Standaardalinea-lettertype"/>
    <w:link w:val="Bodytext21"/>
    <w:uiPriority w:val="99"/>
    <w:rsid w:val="00E3732F"/>
    <w:rPr>
      <w:sz w:val="21"/>
      <w:szCs w:val="21"/>
      <w:shd w:val="clear" w:color="auto" w:fill="FFFFFF"/>
    </w:rPr>
  </w:style>
  <w:style w:type="character" w:customStyle="1" w:styleId="Heading1">
    <w:name w:val="Heading #1_"/>
    <w:basedOn w:val="Standaardalinea-lettertype"/>
    <w:link w:val="Heading10"/>
    <w:uiPriority w:val="99"/>
    <w:rsid w:val="00E3732F"/>
    <w:rPr>
      <w:b/>
      <w:bCs/>
      <w:sz w:val="21"/>
      <w:szCs w:val="21"/>
      <w:shd w:val="clear" w:color="auto" w:fill="FFFFFF"/>
    </w:rPr>
  </w:style>
  <w:style w:type="character" w:customStyle="1" w:styleId="Bodytext2Bold">
    <w:name w:val="Body text (2) + Bold"/>
    <w:basedOn w:val="Bodytext2"/>
    <w:uiPriority w:val="99"/>
    <w:rsid w:val="00E3732F"/>
    <w:rPr>
      <w:b/>
      <w:bCs/>
      <w:sz w:val="21"/>
      <w:szCs w:val="21"/>
      <w:shd w:val="clear" w:color="auto" w:fill="FFFFFF"/>
    </w:rPr>
  </w:style>
  <w:style w:type="paragraph" w:customStyle="1" w:styleId="Bodytext21">
    <w:name w:val="Body text (2)1"/>
    <w:basedOn w:val="Standaard"/>
    <w:link w:val="Bodytext2"/>
    <w:uiPriority w:val="99"/>
    <w:rsid w:val="00E3732F"/>
    <w:pPr>
      <w:widowControl w:val="0"/>
      <w:shd w:val="clear" w:color="auto" w:fill="FFFFFF"/>
      <w:spacing w:after="480" w:line="250" w:lineRule="exact"/>
      <w:ind w:hanging="557"/>
      <w:jc w:val="both"/>
    </w:pPr>
    <w:rPr>
      <w:rFonts w:eastAsiaTheme="minorHAnsi"/>
      <w:sz w:val="21"/>
      <w:szCs w:val="21"/>
      <w:lang w:val="en-US"/>
    </w:rPr>
  </w:style>
  <w:style w:type="paragraph" w:customStyle="1" w:styleId="Heading10">
    <w:name w:val="Heading #1"/>
    <w:basedOn w:val="Standaard"/>
    <w:link w:val="Heading1"/>
    <w:uiPriority w:val="99"/>
    <w:rsid w:val="00E3732F"/>
    <w:pPr>
      <w:widowControl w:val="0"/>
      <w:shd w:val="clear" w:color="auto" w:fill="FFFFFF"/>
      <w:spacing w:before="480" w:after="300" w:line="240" w:lineRule="atLeast"/>
      <w:ind w:hanging="557"/>
      <w:jc w:val="both"/>
      <w:outlineLvl w:val="0"/>
    </w:pPr>
    <w:rPr>
      <w:rFonts w:eastAsiaTheme="minorHAnsi"/>
      <w:b/>
      <w:bCs/>
      <w:sz w:val="21"/>
      <w:szCs w:val="21"/>
      <w:lang w:val="en-US"/>
    </w:rPr>
  </w:style>
  <w:style w:type="character" w:customStyle="1" w:styleId="Bodytext20">
    <w:name w:val="Body text (2)"/>
    <w:basedOn w:val="Bodytext2"/>
    <w:uiPriority w:val="99"/>
    <w:rsid w:val="00526C19"/>
    <w:rPr>
      <w:sz w:val="21"/>
      <w:szCs w:val="21"/>
      <w:u w:val="single"/>
      <w:shd w:val="clear" w:color="auto" w:fill="FFFFFF"/>
    </w:rPr>
  </w:style>
  <w:style w:type="character" w:customStyle="1" w:styleId="Bodytext4">
    <w:name w:val="Body text (4)_"/>
    <w:basedOn w:val="Standaardalinea-lettertype"/>
    <w:link w:val="Bodytext41"/>
    <w:uiPriority w:val="99"/>
    <w:rsid w:val="00526C19"/>
    <w:rPr>
      <w:i/>
      <w:iCs/>
      <w:shd w:val="clear" w:color="auto" w:fill="FFFFFF"/>
    </w:rPr>
  </w:style>
  <w:style w:type="character" w:customStyle="1" w:styleId="Bodytext40">
    <w:name w:val="Body text (4)"/>
    <w:basedOn w:val="Bodytext4"/>
    <w:uiPriority w:val="99"/>
    <w:rsid w:val="00526C19"/>
    <w:rPr>
      <w:i/>
      <w:iCs/>
      <w:u w:val="single"/>
      <w:shd w:val="clear" w:color="auto" w:fill="FFFFFF"/>
    </w:rPr>
  </w:style>
  <w:style w:type="paragraph" w:customStyle="1" w:styleId="Bodytext41">
    <w:name w:val="Body text (4)1"/>
    <w:basedOn w:val="Standaard"/>
    <w:link w:val="Bodytext4"/>
    <w:uiPriority w:val="99"/>
    <w:rsid w:val="00526C19"/>
    <w:pPr>
      <w:widowControl w:val="0"/>
      <w:shd w:val="clear" w:color="auto" w:fill="FFFFFF"/>
      <w:spacing w:line="509" w:lineRule="exact"/>
      <w:ind w:hanging="557"/>
      <w:jc w:val="both"/>
    </w:pPr>
    <w:rPr>
      <w:rFonts w:eastAsiaTheme="minorHAnsi"/>
      <w:i/>
      <w:iCs/>
      <w:sz w:val="22"/>
      <w:szCs w:val="22"/>
      <w:lang w:val="en-US"/>
    </w:rPr>
  </w:style>
  <w:style w:type="character" w:customStyle="1" w:styleId="Tablecaption">
    <w:name w:val="Table caption_"/>
    <w:basedOn w:val="Standaardalinea-lettertype"/>
    <w:link w:val="Tablecaption0"/>
    <w:uiPriority w:val="99"/>
    <w:rsid w:val="00526C19"/>
    <w:rPr>
      <w:b/>
      <w:bCs/>
      <w:sz w:val="21"/>
      <w:szCs w:val="21"/>
      <w:shd w:val="clear" w:color="auto" w:fill="FFFFFF"/>
    </w:rPr>
  </w:style>
  <w:style w:type="paragraph" w:customStyle="1" w:styleId="Tablecaption0">
    <w:name w:val="Table caption"/>
    <w:basedOn w:val="Standaard"/>
    <w:link w:val="Tablecaption"/>
    <w:uiPriority w:val="99"/>
    <w:rsid w:val="00526C19"/>
    <w:pPr>
      <w:widowControl w:val="0"/>
      <w:shd w:val="clear" w:color="auto" w:fill="FFFFFF"/>
      <w:spacing w:line="269" w:lineRule="exact"/>
      <w:ind w:hanging="1142"/>
    </w:pPr>
    <w:rPr>
      <w:rFonts w:eastAsiaTheme="minorHAnsi"/>
      <w:b/>
      <w:bCs/>
      <w:sz w:val="21"/>
      <w:szCs w:val="21"/>
      <w:lang w:val="en-US"/>
    </w:rPr>
  </w:style>
  <w:style w:type="character" w:customStyle="1" w:styleId="Bodytext22">
    <w:name w:val="Body text (2)2"/>
    <w:basedOn w:val="Bodytext2"/>
    <w:uiPriority w:val="99"/>
    <w:rsid w:val="00526C19"/>
    <w:rPr>
      <w:sz w:val="21"/>
      <w:szCs w:val="21"/>
      <w:u w:val="none"/>
      <w:shd w:val="clear" w:color="auto" w:fill="FFFFFF"/>
    </w:rPr>
  </w:style>
  <w:style w:type="paragraph" w:customStyle="1" w:styleId="Paragraph">
    <w:name w:val="Paragraph"/>
    <w:link w:val="ParagraphChar"/>
    <w:qFormat/>
    <w:rsid w:val="00342E6F"/>
    <w:pPr>
      <w:suppressAutoHyphens/>
      <w:spacing w:after="240" w:line="240" w:lineRule="auto"/>
    </w:pPr>
    <w:rPr>
      <w:rFonts w:ascii="Times New Roman" w:eastAsia="Times New Roman" w:hAnsi="Times New Roman" w:cs="Times New Roman"/>
      <w:sz w:val="24"/>
      <w:szCs w:val="24"/>
      <w:lang w:eastAsia="ar-SA"/>
    </w:rPr>
  </w:style>
  <w:style w:type="character" w:customStyle="1" w:styleId="ParagraphChar">
    <w:name w:val="Paragraph Char"/>
    <w:link w:val="Paragraph"/>
    <w:rsid w:val="00342E6F"/>
    <w:rPr>
      <w:rFonts w:ascii="Times New Roman" w:eastAsia="Times New Roman" w:hAnsi="Times New Roman" w:cs="Times New Roman"/>
      <w:sz w:val="24"/>
      <w:szCs w:val="24"/>
      <w:lang w:eastAsia="ar-SA"/>
    </w:rPr>
  </w:style>
  <w:style w:type="paragraph" w:styleId="Normaalweb">
    <w:name w:val="Normal (Web)"/>
    <w:basedOn w:val="Standaard"/>
    <w:uiPriority w:val="99"/>
    <w:unhideWhenUsed/>
    <w:rsid w:val="00342E6F"/>
    <w:pPr>
      <w:spacing w:before="48" w:after="120" w:line="240" w:lineRule="auto"/>
      <w:ind w:left="75" w:right="75"/>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rsid w:val="00342E6F"/>
    <w:rPr>
      <w:color w:val="0000FF"/>
      <w:u w:val="single"/>
    </w:rPr>
  </w:style>
  <w:style w:type="paragraph" w:customStyle="1" w:styleId="titel123">
    <w:name w:val="titel 1.2.3."/>
    <w:basedOn w:val="Standaard"/>
    <w:autoRedefine/>
    <w:rsid w:val="00484CF8"/>
    <w:pPr>
      <w:spacing w:after="120" w:line="23" w:lineRule="atLeast"/>
      <w:jc w:val="both"/>
      <w:outlineLvl w:val="3"/>
    </w:pPr>
    <w:rPr>
      <w:rFonts w:ascii="Times New Roman" w:eastAsia="Times New Roman" w:hAnsi="Times New Roman" w:cs="Times New Roman"/>
      <w:b/>
      <w:bCs/>
      <w:sz w:val="28"/>
      <w:szCs w:val="32"/>
      <w:lang w:val="nl-NL" w:eastAsia="fr-FR"/>
    </w:rPr>
  </w:style>
  <w:style w:type="table" w:styleId="Lichtelijst-accent5">
    <w:name w:val="Light List Accent 5"/>
    <w:basedOn w:val="Standaardtabel"/>
    <w:uiPriority w:val="61"/>
    <w:rsid w:val="00484CF8"/>
    <w:pPr>
      <w:spacing w:after="0" w:line="240" w:lineRule="auto"/>
    </w:pPr>
    <w:rPr>
      <w:rFonts w:ascii="Times New Roman" w:eastAsia="Times New Roman" w:hAnsi="Times New Roman" w:cs="Times New Roman"/>
      <w:sz w:val="20"/>
      <w:szCs w:val="20"/>
      <w:lang w:val="nl-NL" w:eastAsia="nl-N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ijschrift">
    <w:name w:val="caption"/>
    <w:aliases w:val="Lengende,Figure heading,legend,表タイトル,Bayer Caption,IB Caption,Medical Caption"/>
    <w:basedOn w:val="Standaard"/>
    <w:next w:val="Standaard"/>
    <w:link w:val="BijschriftChar"/>
    <w:unhideWhenUsed/>
    <w:qFormat/>
    <w:rsid w:val="00E1560E"/>
    <w:pPr>
      <w:spacing w:after="200" w:line="240" w:lineRule="auto"/>
    </w:pPr>
    <w:rPr>
      <w:b/>
      <w:bCs/>
      <w:color w:val="4F81BD" w:themeColor="accent1"/>
      <w:sz w:val="18"/>
      <w:szCs w:val="18"/>
    </w:rPr>
  </w:style>
  <w:style w:type="paragraph" w:styleId="Lijstnummering">
    <w:name w:val="List Number"/>
    <w:rsid w:val="00DB4D7C"/>
    <w:pPr>
      <w:tabs>
        <w:tab w:val="num" w:pos="720"/>
      </w:tabs>
      <w:spacing w:after="240" w:line="240" w:lineRule="auto"/>
      <w:ind w:left="720" w:hanging="720"/>
    </w:pPr>
    <w:rPr>
      <w:rFonts w:ascii="Times New Roman" w:eastAsia="Times New Roman" w:hAnsi="Times New Roman" w:cs="Times New Roman"/>
      <w:sz w:val="24"/>
      <w:szCs w:val="24"/>
    </w:rPr>
  </w:style>
  <w:style w:type="paragraph" w:styleId="Lijstopsomteken2">
    <w:name w:val="List Bullet 2"/>
    <w:link w:val="Lijstopsomteken2Char"/>
    <w:uiPriority w:val="99"/>
    <w:rsid w:val="00DB4D7C"/>
    <w:pPr>
      <w:tabs>
        <w:tab w:val="num" w:pos="720"/>
      </w:tabs>
      <w:spacing w:after="240" w:line="240" w:lineRule="auto"/>
      <w:ind w:left="720" w:hanging="720"/>
    </w:pPr>
    <w:rPr>
      <w:rFonts w:ascii="Times New Roman" w:eastAsia="Times New Roman" w:hAnsi="Times New Roman" w:cs="Times New Roman"/>
      <w:sz w:val="24"/>
      <w:szCs w:val="24"/>
    </w:rPr>
  </w:style>
  <w:style w:type="character" w:customStyle="1" w:styleId="Lijstopsomteken2Char">
    <w:name w:val="Lijst opsom.teken 2 Char"/>
    <w:link w:val="Lijstopsomteken2"/>
    <w:uiPriority w:val="99"/>
    <w:rsid w:val="00DB4D7C"/>
    <w:rPr>
      <w:rFonts w:ascii="Times New Roman" w:eastAsia="Times New Roman" w:hAnsi="Times New Roman" w:cs="Times New Roman"/>
      <w:sz w:val="24"/>
      <w:szCs w:val="24"/>
    </w:rPr>
  </w:style>
  <w:style w:type="character" w:customStyle="1" w:styleId="BijschriftChar">
    <w:name w:val="Bijschrift Char"/>
    <w:aliases w:val="Lengende Char,Figure heading Char,legend Char,表タイトル Char,Bayer Caption Char,IB Caption Char,Medical Caption Char"/>
    <w:link w:val="Bijschrift"/>
    <w:rsid w:val="0079329C"/>
    <w:rPr>
      <w:rFonts w:eastAsiaTheme="minorEastAsia"/>
      <w:b/>
      <w:bCs/>
      <w:color w:val="4F81BD" w:themeColor="accent1"/>
      <w:sz w:val="18"/>
      <w:szCs w:val="18"/>
      <w:lang w:val="nl-BE"/>
    </w:rPr>
  </w:style>
  <w:style w:type="character" w:styleId="Intensievebenadrukking">
    <w:name w:val="Intense Emphasis"/>
    <w:aliases w:val="Titel Tabel"/>
    <w:basedOn w:val="Standaardalinea-lettertype"/>
    <w:uiPriority w:val="21"/>
    <w:qFormat/>
    <w:rsid w:val="0025335C"/>
    <w:rPr>
      <w:b/>
      <w:bCs/>
      <w:i/>
      <w:iCs/>
      <w:color w:val="4F81BD" w:themeColor="accent1"/>
    </w:rPr>
  </w:style>
  <w:style w:type="table" w:styleId="Lichtelijst-accent1">
    <w:name w:val="Light List Accent 1"/>
    <w:basedOn w:val="Standaardtabel"/>
    <w:uiPriority w:val="61"/>
    <w:rsid w:val="00F2639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Zwaar">
    <w:name w:val="Strong"/>
    <w:basedOn w:val="Standaardalinea-lettertype"/>
    <w:uiPriority w:val="22"/>
    <w:qFormat/>
    <w:rsid w:val="007657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0321">
      <w:bodyDiv w:val="1"/>
      <w:marLeft w:val="0"/>
      <w:marRight w:val="0"/>
      <w:marTop w:val="0"/>
      <w:marBottom w:val="0"/>
      <w:divBdr>
        <w:top w:val="none" w:sz="0" w:space="0" w:color="auto"/>
        <w:left w:val="none" w:sz="0" w:space="0" w:color="auto"/>
        <w:bottom w:val="none" w:sz="0" w:space="0" w:color="auto"/>
        <w:right w:val="none" w:sz="0" w:space="0" w:color="auto"/>
      </w:divBdr>
    </w:div>
    <w:div w:id="24717802">
      <w:bodyDiv w:val="1"/>
      <w:marLeft w:val="0"/>
      <w:marRight w:val="0"/>
      <w:marTop w:val="0"/>
      <w:marBottom w:val="0"/>
      <w:divBdr>
        <w:top w:val="none" w:sz="0" w:space="0" w:color="auto"/>
        <w:left w:val="none" w:sz="0" w:space="0" w:color="auto"/>
        <w:bottom w:val="none" w:sz="0" w:space="0" w:color="auto"/>
        <w:right w:val="none" w:sz="0" w:space="0" w:color="auto"/>
      </w:divBdr>
    </w:div>
    <w:div w:id="165831133">
      <w:bodyDiv w:val="1"/>
      <w:marLeft w:val="0"/>
      <w:marRight w:val="0"/>
      <w:marTop w:val="0"/>
      <w:marBottom w:val="0"/>
      <w:divBdr>
        <w:top w:val="none" w:sz="0" w:space="0" w:color="auto"/>
        <w:left w:val="none" w:sz="0" w:space="0" w:color="auto"/>
        <w:bottom w:val="none" w:sz="0" w:space="0" w:color="auto"/>
        <w:right w:val="none" w:sz="0" w:space="0" w:color="auto"/>
      </w:divBdr>
    </w:div>
    <w:div w:id="204872482">
      <w:bodyDiv w:val="1"/>
      <w:marLeft w:val="0"/>
      <w:marRight w:val="0"/>
      <w:marTop w:val="0"/>
      <w:marBottom w:val="0"/>
      <w:divBdr>
        <w:top w:val="none" w:sz="0" w:space="0" w:color="auto"/>
        <w:left w:val="none" w:sz="0" w:space="0" w:color="auto"/>
        <w:bottom w:val="none" w:sz="0" w:space="0" w:color="auto"/>
        <w:right w:val="none" w:sz="0" w:space="0" w:color="auto"/>
      </w:divBdr>
    </w:div>
    <w:div w:id="293297746">
      <w:bodyDiv w:val="1"/>
      <w:marLeft w:val="0"/>
      <w:marRight w:val="0"/>
      <w:marTop w:val="0"/>
      <w:marBottom w:val="0"/>
      <w:divBdr>
        <w:top w:val="none" w:sz="0" w:space="0" w:color="auto"/>
        <w:left w:val="none" w:sz="0" w:space="0" w:color="auto"/>
        <w:bottom w:val="none" w:sz="0" w:space="0" w:color="auto"/>
        <w:right w:val="none" w:sz="0" w:space="0" w:color="auto"/>
      </w:divBdr>
    </w:div>
    <w:div w:id="382364522">
      <w:bodyDiv w:val="1"/>
      <w:marLeft w:val="0"/>
      <w:marRight w:val="0"/>
      <w:marTop w:val="0"/>
      <w:marBottom w:val="0"/>
      <w:divBdr>
        <w:top w:val="none" w:sz="0" w:space="0" w:color="auto"/>
        <w:left w:val="none" w:sz="0" w:space="0" w:color="auto"/>
        <w:bottom w:val="none" w:sz="0" w:space="0" w:color="auto"/>
        <w:right w:val="none" w:sz="0" w:space="0" w:color="auto"/>
      </w:divBdr>
    </w:div>
    <w:div w:id="398983208">
      <w:bodyDiv w:val="1"/>
      <w:marLeft w:val="0"/>
      <w:marRight w:val="0"/>
      <w:marTop w:val="0"/>
      <w:marBottom w:val="0"/>
      <w:divBdr>
        <w:top w:val="none" w:sz="0" w:space="0" w:color="auto"/>
        <w:left w:val="none" w:sz="0" w:space="0" w:color="auto"/>
        <w:bottom w:val="none" w:sz="0" w:space="0" w:color="auto"/>
        <w:right w:val="none" w:sz="0" w:space="0" w:color="auto"/>
      </w:divBdr>
    </w:div>
    <w:div w:id="511919852">
      <w:bodyDiv w:val="1"/>
      <w:marLeft w:val="0"/>
      <w:marRight w:val="0"/>
      <w:marTop w:val="0"/>
      <w:marBottom w:val="0"/>
      <w:divBdr>
        <w:top w:val="none" w:sz="0" w:space="0" w:color="auto"/>
        <w:left w:val="none" w:sz="0" w:space="0" w:color="auto"/>
        <w:bottom w:val="none" w:sz="0" w:space="0" w:color="auto"/>
        <w:right w:val="none" w:sz="0" w:space="0" w:color="auto"/>
      </w:divBdr>
    </w:div>
    <w:div w:id="874081573">
      <w:bodyDiv w:val="1"/>
      <w:marLeft w:val="0"/>
      <w:marRight w:val="0"/>
      <w:marTop w:val="0"/>
      <w:marBottom w:val="0"/>
      <w:divBdr>
        <w:top w:val="none" w:sz="0" w:space="0" w:color="auto"/>
        <w:left w:val="none" w:sz="0" w:space="0" w:color="auto"/>
        <w:bottom w:val="none" w:sz="0" w:space="0" w:color="auto"/>
        <w:right w:val="none" w:sz="0" w:space="0" w:color="auto"/>
      </w:divBdr>
    </w:div>
    <w:div w:id="981890054">
      <w:bodyDiv w:val="1"/>
      <w:marLeft w:val="0"/>
      <w:marRight w:val="0"/>
      <w:marTop w:val="0"/>
      <w:marBottom w:val="0"/>
      <w:divBdr>
        <w:top w:val="none" w:sz="0" w:space="0" w:color="auto"/>
        <w:left w:val="none" w:sz="0" w:space="0" w:color="auto"/>
        <w:bottom w:val="none" w:sz="0" w:space="0" w:color="auto"/>
        <w:right w:val="none" w:sz="0" w:space="0" w:color="auto"/>
      </w:divBdr>
    </w:div>
    <w:div w:id="1030301960">
      <w:bodyDiv w:val="1"/>
      <w:marLeft w:val="0"/>
      <w:marRight w:val="0"/>
      <w:marTop w:val="0"/>
      <w:marBottom w:val="0"/>
      <w:divBdr>
        <w:top w:val="none" w:sz="0" w:space="0" w:color="auto"/>
        <w:left w:val="none" w:sz="0" w:space="0" w:color="auto"/>
        <w:bottom w:val="none" w:sz="0" w:space="0" w:color="auto"/>
        <w:right w:val="none" w:sz="0" w:space="0" w:color="auto"/>
      </w:divBdr>
    </w:div>
    <w:div w:id="1101335187">
      <w:bodyDiv w:val="1"/>
      <w:marLeft w:val="0"/>
      <w:marRight w:val="0"/>
      <w:marTop w:val="0"/>
      <w:marBottom w:val="0"/>
      <w:divBdr>
        <w:top w:val="none" w:sz="0" w:space="0" w:color="auto"/>
        <w:left w:val="none" w:sz="0" w:space="0" w:color="auto"/>
        <w:bottom w:val="none" w:sz="0" w:space="0" w:color="auto"/>
        <w:right w:val="none" w:sz="0" w:space="0" w:color="auto"/>
      </w:divBdr>
    </w:div>
    <w:div w:id="1118110276">
      <w:bodyDiv w:val="1"/>
      <w:marLeft w:val="0"/>
      <w:marRight w:val="0"/>
      <w:marTop w:val="0"/>
      <w:marBottom w:val="0"/>
      <w:divBdr>
        <w:top w:val="none" w:sz="0" w:space="0" w:color="auto"/>
        <w:left w:val="none" w:sz="0" w:space="0" w:color="auto"/>
        <w:bottom w:val="none" w:sz="0" w:space="0" w:color="auto"/>
        <w:right w:val="none" w:sz="0" w:space="0" w:color="auto"/>
      </w:divBdr>
    </w:div>
    <w:div w:id="1283075537">
      <w:bodyDiv w:val="1"/>
      <w:marLeft w:val="0"/>
      <w:marRight w:val="0"/>
      <w:marTop w:val="0"/>
      <w:marBottom w:val="0"/>
      <w:divBdr>
        <w:top w:val="none" w:sz="0" w:space="0" w:color="auto"/>
        <w:left w:val="none" w:sz="0" w:space="0" w:color="auto"/>
        <w:bottom w:val="none" w:sz="0" w:space="0" w:color="auto"/>
        <w:right w:val="none" w:sz="0" w:space="0" w:color="auto"/>
      </w:divBdr>
    </w:div>
    <w:div w:id="1350715378">
      <w:bodyDiv w:val="1"/>
      <w:marLeft w:val="0"/>
      <w:marRight w:val="0"/>
      <w:marTop w:val="0"/>
      <w:marBottom w:val="0"/>
      <w:divBdr>
        <w:top w:val="none" w:sz="0" w:space="0" w:color="auto"/>
        <w:left w:val="none" w:sz="0" w:space="0" w:color="auto"/>
        <w:bottom w:val="none" w:sz="0" w:space="0" w:color="auto"/>
        <w:right w:val="none" w:sz="0" w:space="0" w:color="auto"/>
      </w:divBdr>
    </w:div>
    <w:div w:id="1461650184">
      <w:bodyDiv w:val="1"/>
      <w:marLeft w:val="0"/>
      <w:marRight w:val="0"/>
      <w:marTop w:val="0"/>
      <w:marBottom w:val="0"/>
      <w:divBdr>
        <w:top w:val="none" w:sz="0" w:space="0" w:color="auto"/>
        <w:left w:val="none" w:sz="0" w:space="0" w:color="auto"/>
        <w:bottom w:val="none" w:sz="0" w:space="0" w:color="auto"/>
        <w:right w:val="none" w:sz="0" w:space="0" w:color="auto"/>
      </w:divBdr>
    </w:div>
    <w:div w:id="1513573037">
      <w:bodyDiv w:val="1"/>
      <w:marLeft w:val="0"/>
      <w:marRight w:val="0"/>
      <w:marTop w:val="0"/>
      <w:marBottom w:val="0"/>
      <w:divBdr>
        <w:top w:val="none" w:sz="0" w:space="0" w:color="auto"/>
        <w:left w:val="none" w:sz="0" w:space="0" w:color="auto"/>
        <w:bottom w:val="none" w:sz="0" w:space="0" w:color="auto"/>
        <w:right w:val="none" w:sz="0" w:space="0" w:color="auto"/>
      </w:divBdr>
    </w:div>
    <w:div w:id="1529490036">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59365907">
      <w:bodyDiv w:val="1"/>
      <w:marLeft w:val="0"/>
      <w:marRight w:val="0"/>
      <w:marTop w:val="0"/>
      <w:marBottom w:val="0"/>
      <w:divBdr>
        <w:top w:val="none" w:sz="0" w:space="0" w:color="auto"/>
        <w:left w:val="none" w:sz="0" w:space="0" w:color="auto"/>
        <w:bottom w:val="none" w:sz="0" w:space="0" w:color="auto"/>
        <w:right w:val="none" w:sz="0" w:space="0" w:color="auto"/>
      </w:divBdr>
    </w:div>
    <w:div w:id="1602110019">
      <w:bodyDiv w:val="1"/>
      <w:marLeft w:val="0"/>
      <w:marRight w:val="0"/>
      <w:marTop w:val="0"/>
      <w:marBottom w:val="0"/>
      <w:divBdr>
        <w:top w:val="none" w:sz="0" w:space="0" w:color="auto"/>
        <w:left w:val="none" w:sz="0" w:space="0" w:color="auto"/>
        <w:bottom w:val="none" w:sz="0" w:space="0" w:color="auto"/>
        <w:right w:val="none" w:sz="0" w:space="0" w:color="auto"/>
      </w:divBdr>
    </w:div>
    <w:div w:id="1821538508">
      <w:bodyDiv w:val="1"/>
      <w:marLeft w:val="0"/>
      <w:marRight w:val="0"/>
      <w:marTop w:val="0"/>
      <w:marBottom w:val="0"/>
      <w:divBdr>
        <w:top w:val="none" w:sz="0" w:space="0" w:color="auto"/>
        <w:left w:val="none" w:sz="0" w:space="0" w:color="auto"/>
        <w:bottom w:val="none" w:sz="0" w:space="0" w:color="auto"/>
        <w:right w:val="none" w:sz="0" w:space="0" w:color="auto"/>
      </w:divBdr>
    </w:div>
    <w:div w:id="1830558611">
      <w:bodyDiv w:val="1"/>
      <w:marLeft w:val="0"/>
      <w:marRight w:val="0"/>
      <w:marTop w:val="0"/>
      <w:marBottom w:val="0"/>
      <w:divBdr>
        <w:top w:val="none" w:sz="0" w:space="0" w:color="auto"/>
        <w:left w:val="none" w:sz="0" w:space="0" w:color="auto"/>
        <w:bottom w:val="none" w:sz="0" w:space="0" w:color="auto"/>
        <w:right w:val="none" w:sz="0" w:space="0" w:color="auto"/>
      </w:divBdr>
    </w:div>
    <w:div w:id="1836726037">
      <w:bodyDiv w:val="1"/>
      <w:marLeft w:val="0"/>
      <w:marRight w:val="0"/>
      <w:marTop w:val="0"/>
      <w:marBottom w:val="0"/>
      <w:divBdr>
        <w:top w:val="none" w:sz="0" w:space="0" w:color="auto"/>
        <w:left w:val="none" w:sz="0" w:space="0" w:color="auto"/>
        <w:bottom w:val="none" w:sz="0" w:space="0" w:color="auto"/>
        <w:right w:val="none" w:sz="0" w:space="0" w:color="auto"/>
      </w:divBdr>
    </w:div>
    <w:div w:id="1848399646">
      <w:bodyDiv w:val="1"/>
      <w:marLeft w:val="0"/>
      <w:marRight w:val="0"/>
      <w:marTop w:val="0"/>
      <w:marBottom w:val="0"/>
      <w:divBdr>
        <w:top w:val="none" w:sz="0" w:space="0" w:color="auto"/>
        <w:left w:val="none" w:sz="0" w:space="0" w:color="auto"/>
        <w:bottom w:val="none" w:sz="0" w:space="0" w:color="auto"/>
        <w:right w:val="none" w:sz="0" w:space="0" w:color="auto"/>
      </w:divBdr>
    </w:div>
    <w:div w:id="1851409772">
      <w:bodyDiv w:val="1"/>
      <w:marLeft w:val="0"/>
      <w:marRight w:val="0"/>
      <w:marTop w:val="0"/>
      <w:marBottom w:val="0"/>
      <w:divBdr>
        <w:top w:val="none" w:sz="0" w:space="0" w:color="auto"/>
        <w:left w:val="none" w:sz="0" w:space="0" w:color="auto"/>
        <w:bottom w:val="none" w:sz="0" w:space="0" w:color="auto"/>
        <w:right w:val="none" w:sz="0" w:space="0" w:color="auto"/>
      </w:divBdr>
    </w:div>
    <w:div w:id="1995332514">
      <w:bodyDiv w:val="1"/>
      <w:marLeft w:val="0"/>
      <w:marRight w:val="0"/>
      <w:marTop w:val="0"/>
      <w:marBottom w:val="0"/>
      <w:divBdr>
        <w:top w:val="none" w:sz="0" w:space="0" w:color="auto"/>
        <w:left w:val="none" w:sz="0" w:space="0" w:color="auto"/>
        <w:bottom w:val="none" w:sz="0" w:space="0" w:color="auto"/>
        <w:right w:val="none" w:sz="0" w:space="0" w:color="auto"/>
      </w:divBdr>
    </w:div>
    <w:div w:id="2041318479">
      <w:bodyDiv w:val="1"/>
      <w:marLeft w:val="0"/>
      <w:marRight w:val="0"/>
      <w:marTop w:val="0"/>
      <w:marBottom w:val="0"/>
      <w:divBdr>
        <w:top w:val="none" w:sz="0" w:space="0" w:color="auto"/>
        <w:left w:val="none" w:sz="0" w:space="0" w:color="auto"/>
        <w:bottom w:val="none" w:sz="0" w:space="0" w:color="auto"/>
        <w:right w:val="none" w:sz="0" w:space="0" w:color="auto"/>
      </w:divBdr>
    </w:div>
    <w:div w:id="209952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2019-11-13T23:00:00+00:00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Industrie pharmaceutique</TermName>
          <TermId xmlns="http://schemas.microsoft.com/office/infopath/2007/PartnerControls">83b39a11-269c-4339-a584-6d2618915f6d</TermId>
        </TermInfo>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76</Value>
      <Value>29</Value>
      <Value>58</Value>
      <Value>104</Value>
      <Value>36</Value>
      <Value>43</Value>
      <Value>12</Value>
    </TaxCatchAll>
    <RIDocSummary xmlns="f15eea43-7fa7-45cf-8dc0-d5244e2cd467">Cohortbeslissing betreffende de behandeling van volwassenen en kinderen met een lokaal gevorderde of gemetastaseerde vaste tumor met een NTRK-genfusie na eerdere standaardtherapie </RIDocSummary>
    <RIThemeTaxHTField0 xmlns="f15eea43-7fa7-45cf-8dc0-d5244e2cd467">
      <Terms xmlns="http://schemas.microsoft.com/office/infopath/2007/PartnerControls">
        <TermInfo xmlns="http://schemas.microsoft.com/office/infopath/2007/PartnerControls">
          <TermName xmlns="http://schemas.microsoft.com/office/infopath/2007/PartnerControls">Médicaments</TermName>
          <TermId xmlns="http://schemas.microsoft.com/office/infopath/2007/PartnerControls">b682f967-947f-46c2-927d-2d02db18ffbc</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Liste</TermName>
          <TermId xmlns="http://schemas.microsoft.com/office/infopath/2007/PartnerControls">4b68e6f4-88ba-4e84-af27-feef342e0c82</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AE999-0710-4009-9B78-0BE2D78CD65F}"/>
</file>

<file path=customXml/itemProps2.xml><?xml version="1.0" encoding="utf-8"?>
<ds:datastoreItem xmlns:ds="http://schemas.openxmlformats.org/officeDocument/2006/customXml" ds:itemID="{30D5C927-1FE9-4E77-8B67-CB55D957267C}"/>
</file>

<file path=customXml/itemProps3.xml><?xml version="1.0" encoding="utf-8"?>
<ds:datastoreItem xmlns:ds="http://schemas.openxmlformats.org/officeDocument/2006/customXml" ds:itemID="{C5AEDDC1-01CF-4328-B45E-577400244D71}"/>
</file>

<file path=customXml/itemProps4.xml><?xml version="1.0" encoding="utf-8"?>
<ds:datastoreItem xmlns:ds="http://schemas.openxmlformats.org/officeDocument/2006/customXml" ds:itemID="{D5856FFE-5185-4450-9208-A3F2D8DE823E}"/>
</file>

<file path=docProps/app.xml><?xml version="1.0" encoding="utf-8"?>
<Properties xmlns="http://schemas.openxmlformats.org/officeDocument/2006/extended-properties" xmlns:vt="http://schemas.openxmlformats.org/officeDocument/2006/docPropsVTypes">
  <Template>AF4107EA.dotm</Template>
  <TotalTime>0</TotalTime>
  <Pages>2</Pages>
  <Words>640</Words>
  <Characters>3521</Characters>
  <Application>Microsoft Office Word</Application>
  <DocSecurity>4</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Onbeantwoorde medische behoeften - Unmet Medical Need - Cohortbeslissingen</dc:title>
  <dc:creator>Florence Leveque</dc:creator>
  <cp:lastModifiedBy>Vandenberg Linda</cp:lastModifiedBy>
  <cp:revision>2</cp:revision>
  <cp:lastPrinted>2016-11-07T10:33:00Z</cp:lastPrinted>
  <dcterms:created xsi:type="dcterms:W3CDTF">2019-11-14T13:29:00Z</dcterms:created>
  <dcterms:modified xsi:type="dcterms:W3CDTF">2019-11-14T13:29:00Z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29;#Médecin|d8a1e59b-bcd7-4d2f-b75c-23b993f6e1ad;#58;#Patient|2ebaf0cf-7353-4273-b1af-236262c84494;#76;#Industrie pharmaceutique|83b39a11-269c-4339-a584-6d2618915f6d;#43;#Pharmacien|afadc2d1-9390-4c99-b189-4366cd2906a2</vt:lpwstr>
  </property>
  <property fmtid="{D5CDD505-2E9C-101B-9397-08002B2CF9AE}" pid="4" name="RITheme">
    <vt:lpwstr>36;#Médicaments|b682f967-947f-46c2-927d-2d02db18ffbc</vt:lpwstr>
  </property>
  <property fmtid="{D5CDD505-2E9C-101B-9397-08002B2CF9AE}" pid="5" name="RILanguage">
    <vt:lpwstr>12;#Néerlandais|1daba039-17e6-4993-bb2c-50e1d16ef364</vt:lpwstr>
  </property>
  <property fmtid="{D5CDD505-2E9C-101B-9397-08002B2CF9AE}" pid="6" name="RIDocType">
    <vt:lpwstr>104;#Liste|4b68e6f4-88ba-4e84-af27-feef342e0c82</vt:lpwstr>
  </property>
  <property fmtid="{D5CDD505-2E9C-101B-9397-08002B2CF9AE}" pid="7" name="Publication type for documents">
    <vt:lpwstr/>
  </property>
</Properties>
</file>