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8D4DA" w14:textId="7B45949B" w:rsidR="003E4A15" w:rsidRPr="003E4A15" w:rsidRDefault="003E4A15" w:rsidP="00745332">
      <w:pPr>
        <w:rPr>
          <w:rFonts w:ascii="Calibri" w:hAnsi="Calibri" w:cs="Calibri"/>
          <w:b/>
          <w:u w:val="single"/>
          <w:lang w:val="fr-BE"/>
        </w:rPr>
      </w:pPr>
      <w:r w:rsidRPr="003E4A15">
        <w:rPr>
          <w:rFonts w:ascii="Calibri" w:hAnsi="Calibri" w:cs="Calibri"/>
          <w:b/>
          <w:u w:val="single"/>
          <w:lang w:val="fr-BE"/>
        </w:rPr>
        <w:t xml:space="preserve">DEMANDE DE DÉCISIONS-CADRE POUR UN </w:t>
      </w:r>
      <w:r w:rsidR="00745332" w:rsidRPr="003E4A15">
        <w:rPr>
          <w:rFonts w:ascii="Calibri" w:hAnsi="Calibri" w:cs="Calibri"/>
          <w:b/>
          <w:u w:val="single"/>
          <w:lang w:val="fr-BE"/>
        </w:rPr>
        <w:t>ACC</w:t>
      </w:r>
      <w:r w:rsidR="00745332">
        <w:rPr>
          <w:rFonts w:ascii="Calibri" w:hAnsi="Calibri" w:cs="Calibri"/>
          <w:b/>
          <w:u w:val="single"/>
          <w:lang w:val="fr-BE"/>
        </w:rPr>
        <w:t>E</w:t>
      </w:r>
      <w:r w:rsidR="00745332" w:rsidRPr="003E4A15">
        <w:rPr>
          <w:rFonts w:ascii="Calibri" w:hAnsi="Calibri" w:cs="Calibri"/>
          <w:b/>
          <w:u w:val="single"/>
          <w:lang w:val="fr-BE"/>
        </w:rPr>
        <w:t xml:space="preserve">S </w:t>
      </w:r>
      <w:r w:rsidR="00745332">
        <w:rPr>
          <w:rFonts w:ascii="Calibri" w:hAnsi="Calibri" w:cs="Calibri"/>
          <w:b/>
          <w:u w:val="single"/>
          <w:lang w:val="fr-BE"/>
        </w:rPr>
        <w:t>PRÉCOCE</w:t>
      </w:r>
    </w:p>
    <w:p w14:paraId="49D0FCA6" w14:textId="1E8A6FC9" w:rsidR="003E4A15" w:rsidRPr="003E4A15" w:rsidRDefault="003E4A15" w:rsidP="00745332">
      <w:pPr>
        <w:rPr>
          <w:rFonts w:ascii="Calibri" w:hAnsi="Calibri" w:cs="Calibri"/>
          <w:b/>
          <w:sz w:val="20"/>
          <w:szCs w:val="20"/>
          <w:u w:val="single"/>
          <w:lang w:val="fr-BE"/>
        </w:rPr>
      </w:pPr>
    </w:p>
    <w:p w14:paraId="717939C7" w14:textId="77777777" w:rsidR="003E4A15" w:rsidRPr="00745332" w:rsidRDefault="003E4A15" w:rsidP="00745332">
      <w:pPr>
        <w:rPr>
          <w:rFonts w:ascii="Calibri" w:hAnsi="Calibri" w:cs="Calibri"/>
          <w:sz w:val="20"/>
          <w:szCs w:val="20"/>
          <w:u w:val="single"/>
          <w:lang w:val="fr-BE"/>
        </w:rPr>
      </w:pPr>
    </w:p>
    <w:p w14:paraId="52AA8074" w14:textId="77777777" w:rsidR="003E4A15" w:rsidRDefault="003E4A15" w:rsidP="00745332">
      <w:pPr>
        <w:rPr>
          <w:rFonts w:ascii="Calibri" w:hAnsi="Calibri" w:cs="Calibri"/>
          <w:b/>
          <w:bCs/>
          <w:u w:val="single"/>
          <w:lang w:val="fr-FR"/>
        </w:rPr>
      </w:pPr>
      <w:r w:rsidRPr="00745332">
        <w:rPr>
          <w:rFonts w:ascii="Calibri" w:hAnsi="Calibri" w:cs="Calibri"/>
          <w:b/>
          <w:bCs/>
          <w:u w:val="single"/>
          <w:lang w:val="fr-FR"/>
        </w:rPr>
        <w:t>RECOMMANDATIONS</w:t>
      </w:r>
    </w:p>
    <w:p w14:paraId="785A1259" w14:textId="77777777" w:rsidR="00745332" w:rsidRPr="00745332" w:rsidRDefault="00745332" w:rsidP="00745332">
      <w:pPr>
        <w:rPr>
          <w:rFonts w:ascii="Calibri" w:hAnsi="Calibri" w:cs="Calibri"/>
          <w:b/>
          <w:bCs/>
          <w:lang w:val="fr-FR"/>
        </w:rPr>
      </w:pPr>
    </w:p>
    <w:p w14:paraId="3B73AF7F" w14:textId="77E99275" w:rsidR="003E4A15" w:rsidRDefault="003E4A15" w:rsidP="00745332">
      <w:pPr>
        <w:jc w:val="both"/>
        <w:rPr>
          <w:rFonts w:ascii="Calibri" w:hAnsi="Calibri" w:cs="Calibri"/>
          <w:sz w:val="20"/>
          <w:szCs w:val="20"/>
          <w:lang w:val="fr-FR"/>
        </w:rPr>
      </w:pPr>
      <w:r w:rsidRPr="2A406492">
        <w:rPr>
          <w:rFonts w:ascii="Calibri" w:hAnsi="Calibri" w:cs="Calibri"/>
          <w:sz w:val="20"/>
          <w:szCs w:val="20"/>
          <w:lang w:val="fr-FR"/>
        </w:rPr>
        <w:t>(Ces recommandations sont celles qui ont été approuvées par la Commission d’avis en cas d’intervention temporaire pour l’utilisation d’un médicament (CAIT</w:t>
      </w:r>
      <w:proofErr w:type="gramStart"/>
      <w:r w:rsidRPr="2A406492">
        <w:rPr>
          <w:rFonts w:ascii="Calibri" w:hAnsi="Calibri" w:cs="Calibri"/>
          <w:sz w:val="20"/>
          <w:szCs w:val="20"/>
          <w:lang w:val="fr-FR"/>
        </w:rPr>
        <w:t>)</w:t>
      </w:r>
      <w:r w:rsidR="51F83D7F" w:rsidRPr="2A406492">
        <w:rPr>
          <w:rFonts w:ascii="Calibri" w:hAnsi="Calibri" w:cs="Calibri"/>
          <w:sz w:val="20"/>
          <w:szCs w:val="20"/>
          <w:lang w:val="fr-FR"/>
        </w:rPr>
        <w:t>;</w:t>
      </w:r>
      <w:proofErr w:type="gramEnd"/>
      <w:r w:rsidRPr="2A406492">
        <w:rPr>
          <w:rFonts w:ascii="Calibri" w:hAnsi="Calibri" w:cs="Calibri"/>
          <w:sz w:val="20"/>
          <w:szCs w:val="20"/>
          <w:lang w:val="fr-FR"/>
        </w:rPr>
        <w:t xml:space="preserve"> elles sont susceptibles d’adaptations ultérieures. Conformément aux dispositions de l’article </w:t>
      </w:r>
      <w:r w:rsidR="00DB435E" w:rsidRPr="2A406492">
        <w:rPr>
          <w:rFonts w:ascii="Calibri" w:hAnsi="Calibri" w:cs="Calibri"/>
          <w:sz w:val="20"/>
          <w:szCs w:val="20"/>
          <w:lang w:val="fr-FR"/>
        </w:rPr>
        <w:t>6</w:t>
      </w:r>
      <w:r w:rsidRPr="2A406492">
        <w:rPr>
          <w:rFonts w:ascii="Calibri" w:hAnsi="Calibri" w:cs="Calibri"/>
          <w:sz w:val="20"/>
          <w:szCs w:val="20"/>
          <w:lang w:val="fr-FR"/>
        </w:rPr>
        <w:t xml:space="preserve"> </w:t>
      </w:r>
      <w:r w:rsidRPr="2A406492">
        <w:rPr>
          <w:rFonts w:ascii="Calibri" w:hAnsi="Calibri" w:cs="Calibri"/>
          <w:sz w:val="20"/>
          <w:szCs w:val="20"/>
          <w:lang w:val="fr-BE"/>
        </w:rPr>
        <w:t xml:space="preserve">de l’A.R. du </w:t>
      </w:r>
      <w:r w:rsidR="6B64EFDD" w:rsidRPr="2A406492">
        <w:rPr>
          <w:rFonts w:ascii="Calibri" w:hAnsi="Calibri" w:cs="Calibri"/>
          <w:sz w:val="20"/>
          <w:szCs w:val="20"/>
          <w:lang w:val="fr-BE"/>
        </w:rPr>
        <w:t>1</w:t>
      </w:r>
      <w:r w:rsidR="00D525E7">
        <w:rPr>
          <w:rFonts w:ascii="Calibri" w:hAnsi="Calibri" w:cs="Calibri"/>
          <w:sz w:val="20"/>
          <w:szCs w:val="20"/>
          <w:lang w:val="fr-BE"/>
        </w:rPr>
        <w:t>4 février</w:t>
      </w:r>
      <w:r w:rsidR="6B64EFDD" w:rsidRPr="2A406492">
        <w:rPr>
          <w:rFonts w:ascii="Calibri" w:hAnsi="Calibri" w:cs="Calibri"/>
          <w:sz w:val="20"/>
          <w:szCs w:val="20"/>
          <w:lang w:val="fr-BE"/>
        </w:rPr>
        <w:t xml:space="preserve"> </w:t>
      </w:r>
      <w:r w:rsidR="00745332" w:rsidRPr="2A406492">
        <w:rPr>
          <w:rFonts w:ascii="Calibri" w:hAnsi="Calibri"/>
          <w:sz w:val="20"/>
          <w:szCs w:val="20"/>
          <w:lang w:val="fr-BE"/>
        </w:rPr>
        <w:t>2026</w:t>
      </w:r>
      <w:r w:rsidRPr="2A406492">
        <w:rPr>
          <w:rFonts w:ascii="Calibri" w:hAnsi="Calibri" w:cs="Calibri"/>
          <w:sz w:val="20"/>
          <w:szCs w:val="20"/>
          <w:lang w:val="fr-BE"/>
        </w:rPr>
        <w:t>, les demandeurs sont tenus de les respecter pour introduire un dossier valable et recevable.</w:t>
      </w:r>
      <w:r w:rsidRPr="2A406492">
        <w:rPr>
          <w:rFonts w:ascii="Calibri" w:hAnsi="Calibri" w:cs="Calibri"/>
          <w:sz w:val="20"/>
          <w:szCs w:val="20"/>
          <w:lang w:val="fr-FR"/>
        </w:rPr>
        <w:t>)</w:t>
      </w:r>
    </w:p>
    <w:p w14:paraId="16AD7547" w14:textId="77777777" w:rsidR="00DB435E" w:rsidRPr="003E4A15" w:rsidRDefault="00DB435E" w:rsidP="00745332">
      <w:pPr>
        <w:rPr>
          <w:rFonts w:ascii="Calibri" w:hAnsi="Calibri" w:cs="Calibri"/>
          <w:sz w:val="20"/>
          <w:szCs w:val="20"/>
          <w:lang w:val="fr-BE"/>
        </w:rPr>
      </w:pPr>
    </w:p>
    <w:p w14:paraId="38AAB0BD" w14:textId="77777777" w:rsidR="003E4A15" w:rsidRPr="003E4A15" w:rsidRDefault="003E4A15" w:rsidP="00745332">
      <w:pPr>
        <w:rPr>
          <w:rFonts w:ascii="Calibri" w:hAnsi="Calibri" w:cs="Calibri"/>
          <w:sz w:val="20"/>
          <w:szCs w:val="20"/>
          <w:lang w:val="fr-FR"/>
        </w:rPr>
      </w:pPr>
    </w:p>
    <w:p w14:paraId="074B0FEA" w14:textId="77777777" w:rsidR="003E4A15" w:rsidRPr="00745332" w:rsidRDefault="003E4A15" w:rsidP="00745332">
      <w:pPr>
        <w:rPr>
          <w:rFonts w:ascii="Calibri" w:hAnsi="Calibri" w:cs="Calibri"/>
          <w:b/>
          <w:lang w:val="fr-FR"/>
        </w:rPr>
      </w:pPr>
      <w:r w:rsidRPr="00745332">
        <w:rPr>
          <w:rFonts w:ascii="Calibri" w:hAnsi="Calibri" w:cs="Calibri"/>
          <w:b/>
          <w:lang w:val="fr-FR"/>
        </w:rPr>
        <w:t>PRINCIPES FONDAMENTAUX</w:t>
      </w:r>
    </w:p>
    <w:p w14:paraId="65AE41E6" w14:textId="77777777" w:rsidR="003E4A15" w:rsidRPr="003E4A15" w:rsidRDefault="003E4A15" w:rsidP="00745332">
      <w:pPr>
        <w:rPr>
          <w:rFonts w:ascii="Calibri" w:hAnsi="Calibri" w:cs="Calibri"/>
          <w:sz w:val="20"/>
          <w:szCs w:val="20"/>
          <w:lang w:val="fr-FR"/>
        </w:rPr>
      </w:pPr>
    </w:p>
    <w:p w14:paraId="43BFE147" w14:textId="02CD1CE7" w:rsidR="003E4A15" w:rsidRPr="00EB33F9" w:rsidRDefault="00745332" w:rsidP="00745332">
      <w:pPr>
        <w:numPr>
          <w:ilvl w:val="0"/>
          <w:numId w:val="19"/>
        </w:numPr>
        <w:ind w:left="0" w:firstLine="0"/>
        <w:jc w:val="both"/>
        <w:rPr>
          <w:rFonts w:ascii="Calibri" w:hAnsi="Calibri"/>
          <w:sz w:val="20"/>
          <w:lang w:val="fr-BE"/>
        </w:rPr>
      </w:pPr>
      <w:r>
        <w:rPr>
          <w:rFonts w:ascii="Calibri" w:hAnsi="Calibri"/>
          <w:sz w:val="20"/>
          <w:lang w:val="fr-BE"/>
        </w:rPr>
        <w:t xml:space="preserve"> </w:t>
      </w:r>
      <w:r w:rsidR="003E4A15" w:rsidRPr="003E4A15">
        <w:rPr>
          <w:rFonts w:ascii="Calibri" w:hAnsi="Calibri"/>
          <w:sz w:val="20"/>
          <w:lang w:val="fr-BE"/>
        </w:rPr>
        <w:t xml:space="preserve">Les décisions-cadre pour </w:t>
      </w:r>
      <w:r w:rsidR="00DB435E" w:rsidRPr="00DB435E">
        <w:rPr>
          <w:rFonts w:ascii="Calibri" w:hAnsi="Calibri"/>
          <w:sz w:val="20"/>
          <w:lang w:val="fr-BE"/>
        </w:rPr>
        <w:t>l</w:t>
      </w:r>
      <w:r w:rsidR="00DB435E">
        <w:rPr>
          <w:rFonts w:ascii="Calibri" w:hAnsi="Calibri"/>
          <w:sz w:val="20"/>
          <w:lang w:val="fr-BE"/>
        </w:rPr>
        <w:t>’</w:t>
      </w:r>
      <w:r w:rsidR="003E4A15" w:rsidRPr="003E4A15">
        <w:rPr>
          <w:rFonts w:ascii="Calibri" w:hAnsi="Calibri"/>
          <w:sz w:val="20"/>
          <w:lang w:val="fr-BE"/>
        </w:rPr>
        <w:t xml:space="preserve">accès </w:t>
      </w:r>
      <w:r w:rsidR="00DB435E" w:rsidRPr="00DB435E">
        <w:rPr>
          <w:rFonts w:ascii="Calibri" w:hAnsi="Calibri" w:cs="Calibri"/>
          <w:sz w:val="20"/>
          <w:szCs w:val="20"/>
          <w:lang w:val="fr-BE"/>
        </w:rPr>
        <w:t>précoce de la CA</w:t>
      </w:r>
      <w:r w:rsidR="00DB435E">
        <w:rPr>
          <w:rFonts w:ascii="Calibri" w:hAnsi="Calibri" w:cs="Calibri"/>
          <w:sz w:val="20"/>
          <w:szCs w:val="20"/>
          <w:lang w:val="fr-BE"/>
        </w:rPr>
        <w:t>I</w:t>
      </w:r>
      <w:r w:rsidR="00DB435E" w:rsidRPr="00DB435E">
        <w:rPr>
          <w:rFonts w:ascii="Calibri" w:hAnsi="Calibri" w:cs="Calibri"/>
          <w:sz w:val="20"/>
          <w:szCs w:val="20"/>
          <w:lang w:val="fr-BE"/>
        </w:rPr>
        <w:t>T sont établies pour des indications spécifiques et pour certains groupes de bénéficiaires.</w:t>
      </w:r>
    </w:p>
    <w:p w14:paraId="033ABDB3" w14:textId="77777777" w:rsidR="00EB33F9" w:rsidRPr="003E4A15" w:rsidRDefault="00EB33F9" w:rsidP="00EB33F9">
      <w:pPr>
        <w:jc w:val="both"/>
        <w:rPr>
          <w:rFonts w:ascii="Calibri" w:hAnsi="Calibri"/>
          <w:sz w:val="20"/>
          <w:lang w:val="fr-BE"/>
        </w:rPr>
      </w:pPr>
    </w:p>
    <w:p w14:paraId="3332456C" w14:textId="19AAAC60" w:rsidR="003E4A15" w:rsidRDefault="00745332" w:rsidP="7C5B71B3">
      <w:pPr>
        <w:numPr>
          <w:ilvl w:val="0"/>
          <w:numId w:val="19"/>
        </w:numPr>
        <w:ind w:left="0" w:firstLine="0"/>
        <w:jc w:val="both"/>
        <w:rPr>
          <w:rFonts w:ascii="Calibri" w:hAnsi="Calibri"/>
          <w:sz w:val="20"/>
          <w:szCs w:val="20"/>
          <w:lang w:val="fr-BE"/>
        </w:rPr>
      </w:pPr>
      <w:r w:rsidRPr="7C5B71B3">
        <w:rPr>
          <w:rFonts w:ascii="Calibri" w:hAnsi="Calibri"/>
          <w:sz w:val="20"/>
          <w:szCs w:val="20"/>
          <w:lang w:val="fr-BE"/>
        </w:rPr>
        <w:t xml:space="preserve"> </w:t>
      </w:r>
      <w:r w:rsidR="003E4A15" w:rsidRPr="7C5B71B3">
        <w:rPr>
          <w:rFonts w:ascii="Calibri" w:hAnsi="Calibri"/>
          <w:sz w:val="20"/>
          <w:szCs w:val="20"/>
          <w:lang w:val="fr-BE"/>
        </w:rPr>
        <w:t xml:space="preserve">Comme prévu à l’article </w:t>
      </w:r>
      <w:r w:rsidR="00DB435E" w:rsidRPr="7C5B71B3">
        <w:rPr>
          <w:rFonts w:ascii="Calibri" w:hAnsi="Calibri"/>
          <w:sz w:val="20"/>
          <w:szCs w:val="20"/>
          <w:lang w:val="fr-BE"/>
        </w:rPr>
        <w:t>4</w:t>
      </w:r>
      <w:r w:rsidR="003E4A15" w:rsidRPr="7C5B71B3">
        <w:rPr>
          <w:rFonts w:ascii="Calibri" w:hAnsi="Calibri"/>
          <w:sz w:val="20"/>
          <w:szCs w:val="20"/>
          <w:lang w:val="fr-BE"/>
        </w:rPr>
        <w:t>, §</w:t>
      </w:r>
      <w:r w:rsidR="00DB435E" w:rsidRPr="7C5B71B3">
        <w:rPr>
          <w:rFonts w:ascii="Calibri" w:hAnsi="Calibri"/>
          <w:sz w:val="20"/>
          <w:szCs w:val="20"/>
          <w:lang w:val="fr-BE"/>
        </w:rPr>
        <w:t>3</w:t>
      </w:r>
      <w:r w:rsidR="003E4A15" w:rsidRPr="7C5B71B3">
        <w:rPr>
          <w:rFonts w:ascii="Calibri" w:hAnsi="Calibri"/>
          <w:sz w:val="20"/>
          <w:szCs w:val="20"/>
          <w:lang w:val="fr-BE"/>
        </w:rPr>
        <w:t xml:space="preserve"> de l’A.R. du </w:t>
      </w:r>
      <w:r w:rsidR="00D525E7" w:rsidRPr="2A406492">
        <w:rPr>
          <w:rFonts w:ascii="Calibri" w:hAnsi="Calibri" w:cs="Calibri"/>
          <w:sz w:val="20"/>
          <w:szCs w:val="20"/>
          <w:lang w:val="fr-BE"/>
        </w:rPr>
        <w:t>1</w:t>
      </w:r>
      <w:r w:rsidR="00D525E7">
        <w:rPr>
          <w:rFonts w:ascii="Calibri" w:hAnsi="Calibri" w:cs="Calibri"/>
          <w:sz w:val="20"/>
          <w:szCs w:val="20"/>
          <w:lang w:val="fr-BE"/>
        </w:rPr>
        <w:t>4 février</w:t>
      </w:r>
      <w:r w:rsidR="00D525E7" w:rsidRPr="2A406492">
        <w:rPr>
          <w:rFonts w:ascii="Calibri" w:hAnsi="Calibri" w:cs="Calibri"/>
          <w:sz w:val="20"/>
          <w:szCs w:val="20"/>
          <w:lang w:val="fr-BE"/>
        </w:rPr>
        <w:t xml:space="preserve"> </w:t>
      </w:r>
      <w:r w:rsidRPr="7C5B71B3">
        <w:rPr>
          <w:rFonts w:ascii="Calibri" w:hAnsi="Calibri"/>
          <w:sz w:val="20"/>
          <w:szCs w:val="20"/>
          <w:lang w:val="fr-BE"/>
        </w:rPr>
        <w:t xml:space="preserve">2026 </w:t>
      </w:r>
      <w:r w:rsidR="003E4A15" w:rsidRPr="7C5B71B3">
        <w:rPr>
          <w:rFonts w:ascii="Calibri" w:hAnsi="Calibri"/>
          <w:sz w:val="20"/>
          <w:szCs w:val="20"/>
          <w:lang w:val="fr-BE"/>
        </w:rPr>
        <w:t xml:space="preserve">fixant les procédures, délais et conditions relatifs à l’intervention de l’assurance obligatoire soins de santé et indemnités en matière d’accès précoce et d’accès rapide aux médicaments, les décisions-cadre pour </w:t>
      </w:r>
      <w:r w:rsidR="00DB435E" w:rsidRPr="7C5B71B3">
        <w:rPr>
          <w:rFonts w:ascii="Calibri" w:hAnsi="Calibri" w:cs="Calibri"/>
          <w:sz w:val="20"/>
          <w:szCs w:val="20"/>
          <w:lang w:val="fr-BE"/>
        </w:rPr>
        <w:t xml:space="preserve">l’accès précoce de la CAIT </w:t>
      </w:r>
      <w:r w:rsidR="003E4A15" w:rsidRPr="7C5B71B3">
        <w:rPr>
          <w:rFonts w:ascii="Calibri" w:hAnsi="Calibri"/>
          <w:sz w:val="20"/>
          <w:szCs w:val="20"/>
          <w:lang w:val="fr-BE"/>
        </w:rPr>
        <w:t xml:space="preserve">tiennent compte de plusieurs critères. Les éléments suivants sont pris en considération : </w:t>
      </w:r>
    </w:p>
    <w:p w14:paraId="4293BC2E" w14:textId="77777777" w:rsidR="00EB33F9" w:rsidRPr="00745332" w:rsidRDefault="00EB33F9" w:rsidP="7C5B71B3">
      <w:pPr>
        <w:jc w:val="both"/>
        <w:rPr>
          <w:rFonts w:ascii="Calibri" w:hAnsi="Calibri"/>
          <w:sz w:val="20"/>
          <w:szCs w:val="20"/>
          <w:lang w:val="fr-BE"/>
        </w:rPr>
      </w:pPr>
    </w:p>
    <w:p w14:paraId="2A9E17E7" w14:textId="77777777" w:rsidR="003E4A15" w:rsidRPr="003E4A15" w:rsidRDefault="003E4A15" w:rsidP="7C5B71B3">
      <w:pPr>
        <w:numPr>
          <w:ilvl w:val="0"/>
          <w:numId w:val="20"/>
        </w:numPr>
        <w:tabs>
          <w:tab w:val="num" w:pos="1440"/>
        </w:tabs>
        <w:jc w:val="both"/>
        <w:rPr>
          <w:rFonts w:ascii="Calibri" w:hAnsi="Calibri"/>
          <w:sz w:val="20"/>
          <w:szCs w:val="20"/>
          <w:lang w:val="nl-BE"/>
        </w:rPr>
      </w:pPr>
      <w:proofErr w:type="gramStart"/>
      <w:r w:rsidRPr="7C5B71B3">
        <w:rPr>
          <w:rFonts w:ascii="Calibri" w:hAnsi="Calibri"/>
          <w:sz w:val="20"/>
          <w:szCs w:val="20"/>
          <w:lang w:val="nl-BE"/>
        </w:rPr>
        <w:t>les</w:t>
      </w:r>
      <w:proofErr w:type="gramEnd"/>
      <w:r w:rsidRPr="7C5B71B3">
        <w:rPr>
          <w:rFonts w:ascii="Calibri" w:hAnsi="Calibri"/>
          <w:sz w:val="20"/>
          <w:szCs w:val="20"/>
          <w:lang w:val="nl-BE"/>
        </w:rPr>
        <w:t xml:space="preserve"> données scientifiques générales,</w:t>
      </w:r>
    </w:p>
    <w:p w14:paraId="0E07C054" w14:textId="33E77581" w:rsidR="003E4A15" w:rsidRPr="003E4A15" w:rsidRDefault="003E4A15" w:rsidP="7C5B71B3">
      <w:pPr>
        <w:numPr>
          <w:ilvl w:val="0"/>
          <w:numId w:val="20"/>
        </w:numPr>
        <w:tabs>
          <w:tab w:val="num" w:pos="1440"/>
        </w:tabs>
        <w:jc w:val="both"/>
        <w:rPr>
          <w:rFonts w:ascii="Calibri" w:hAnsi="Calibri"/>
          <w:sz w:val="20"/>
          <w:szCs w:val="20"/>
          <w:lang w:val="nl-BE"/>
        </w:rPr>
      </w:pPr>
      <w:proofErr w:type="gramStart"/>
      <w:r w:rsidRPr="7C5B71B3">
        <w:rPr>
          <w:rFonts w:ascii="Calibri" w:hAnsi="Calibri"/>
          <w:sz w:val="20"/>
          <w:szCs w:val="20"/>
          <w:lang w:val="nl-BE"/>
        </w:rPr>
        <w:t>la</w:t>
      </w:r>
      <w:proofErr w:type="gramEnd"/>
      <w:r w:rsidRPr="7C5B71B3">
        <w:rPr>
          <w:rFonts w:ascii="Calibri" w:hAnsi="Calibri"/>
          <w:sz w:val="20"/>
          <w:szCs w:val="20"/>
          <w:lang w:val="nl-BE"/>
        </w:rPr>
        <w:t xml:space="preserve"> valeur thérapeutique,</w:t>
      </w:r>
    </w:p>
    <w:p w14:paraId="5A6A0DF6" w14:textId="77777777" w:rsidR="003E4A15" w:rsidRPr="00745332" w:rsidRDefault="003E4A15" w:rsidP="7C5B71B3">
      <w:pPr>
        <w:numPr>
          <w:ilvl w:val="0"/>
          <w:numId w:val="20"/>
        </w:numPr>
        <w:tabs>
          <w:tab w:val="num" w:pos="1440"/>
        </w:tabs>
        <w:jc w:val="both"/>
        <w:rPr>
          <w:rFonts w:ascii="Calibri" w:hAnsi="Calibri"/>
          <w:sz w:val="20"/>
          <w:szCs w:val="20"/>
          <w:lang w:val="fr-BE"/>
        </w:rPr>
      </w:pPr>
      <w:proofErr w:type="gramStart"/>
      <w:r w:rsidRPr="7C5B71B3">
        <w:rPr>
          <w:rFonts w:ascii="Calibri" w:hAnsi="Calibri"/>
          <w:sz w:val="20"/>
          <w:szCs w:val="20"/>
          <w:lang w:val="fr-BE"/>
        </w:rPr>
        <w:t>l’importance</w:t>
      </w:r>
      <w:proofErr w:type="gramEnd"/>
      <w:r w:rsidRPr="7C5B71B3">
        <w:rPr>
          <w:rFonts w:ascii="Calibri" w:hAnsi="Calibri"/>
          <w:sz w:val="20"/>
          <w:szCs w:val="20"/>
          <w:lang w:val="fr-BE"/>
        </w:rPr>
        <w:t xml:space="preserve"> du médicament dans la pratique médicale en termes de besoins thérapeutiques et sociaux,</w:t>
      </w:r>
    </w:p>
    <w:p w14:paraId="31A68018" w14:textId="20A69C69" w:rsidR="003E4A15" w:rsidRPr="00EB33F9" w:rsidRDefault="003E4A15" w:rsidP="7C5B71B3">
      <w:pPr>
        <w:numPr>
          <w:ilvl w:val="0"/>
          <w:numId w:val="20"/>
        </w:numPr>
        <w:tabs>
          <w:tab w:val="num" w:pos="1440"/>
        </w:tabs>
        <w:jc w:val="both"/>
        <w:rPr>
          <w:rFonts w:ascii="Calibri" w:hAnsi="Calibri"/>
          <w:sz w:val="20"/>
          <w:szCs w:val="20"/>
          <w:lang w:val="fr-BE"/>
        </w:rPr>
      </w:pPr>
      <w:proofErr w:type="gramStart"/>
      <w:r w:rsidRPr="7C5B71B3">
        <w:rPr>
          <w:rFonts w:ascii="Calibri" w:hAnsi="Calibri"/>
          <w:sz w:val="20"/>
          <w:szCs w:val="20"/>
          <w:lang w:val="fr-BE"/>
        </w:rPr>
        <w:t>l’impact</w:t>
      </w:r>
      <w:proofErr w:type="gramEnd"/>
      <w:r w:rsidRPr="7C5B71B3">
        <w:rPr>
          <w:rFonts w:ascii="Calibri" w:hAnsi="Calibri"/>
          <w:sz w:val="20"/>
          <w:szCs w:val="20"/>
          <w:lang w:val="fr-BE"/>
        </w:rPr>
        <w:t xml:space="preserve"> budgétaire et les conséquences financières pour </w:t>
      </w:r>
      <w:r w:rsidR="00DB435E" w:rsidRPr="7C5B71B3">
        <w:rPr>
          <w:rFonts w:ascii="Calibri" w:hAnsi="Calibri" w:cs="Calibri"/>
          <w:sz w:val="20"/>
          <w:szCs w:val="20"/>
          <w:lang w:val="fr-BE"/>
        </w:rPr>
        <w:t>le Programme d’accès précoce</w:t>
      </w:r>
      <w:r w:rsidRPr="7C5B71B3">
        <w:rPr>
          <w:rFonts w:ascii="Calibri" w:hAnsi="Calibri"/>
          <w:sz w:val="20"/>
          <w:szCs w:val="20"/>
          <w:lang w:val="fr-BE"/>
        </w:rPr>
        <w:t>, en tenant compte du nombre de bénéficiaires susceptibles de répondre aux conditions d’intervention</w:t>
      </w:r>
      <w:r w:rsidR="00DB435E" w:rsidRPr="7C5B71B3">
        <w:rPr>
          <w:rFonts w:ascii="Calibri" w:hAnsi="Calibri"/>
          <w:sz w:val="20"/>
          <w:szCs w:val="20"/>
          <w:lang w:val="fr-BE"/>
        </w:rPr>
        <w:t xml:space="preserve"> </w:t>
      </w:r>
      <w:r w:rsidR="00DB435E" w:rsidRPr="7C5B71B3">
        <w:rPr>
          <w:rFonts w:ascii="Calibri" w:hAnsi="Calibri" w:cs="Calibri"/>
          <w:sz w:val="20"/>
          <w:szCs w:val="20"/>
          <w:lang w:val="fr-BE"/>
        </w:rPr>
        <w:t>et des ressources financières disponibles pour ce Programme, conformément à l’allocation effectuée par le Conseil général.</w:t>
      </w:r>
    </w:p>
    <w:p w14:paraId="1093F337" w14:textId="77777777" w:rsidR="00EB33F9" w:rsidRPr="003E4A15" w:rsidRDefault="00EB33F9" w:rsidP="7C5B71B3">
      <w:pPr>
        <w:ind w:left="1080"/>
        <w:jc w:val="both"/>
        <w:rPr>
          <w:rFonts w:ascii="Calibri" w:hAnsi="Calibri"/>
          <w:sz w:val="20"/>
          <w:szCs w:val="20"/>
          <w:lang w:val="fr-BE"/>
        </w:rPr>
      </w:pPr>
    </w:p>
    <w:p w14:paraId="5B8CD782" w14:textId="7C30E1E2" w:rsidR="003E4A15" w:rsidRPr="003E4A15" w:rsidRDefault="00745332" w:rsidP="7C5B71B3">
      <w:pPr>
        <w:numPr>
          <w:ilvl w:val="0"/>
          <w:numId w:val="19"/>
        </w:numPr>
        <w:ind w:left="0" w:firstLine="0"/>
        <w:jc w:val="both"/>
        <w:rPr>
          <w:rFonts w:ascii="Calibri" w:hAnsi="Calibri"/>
          <w:sz w:val="20"/>
          <w:szCs w:val="20"/>
          <w:lang w:val="fr-BE"/>
        </w:rPr>
      </w:pPr>
      <w:r w:rsidRPr="7C5B71B3">
        <w:rPr>
          <w:rFonts w:ascii="Calibri" w:hAnsi="Calibri"/>
          <w:sz w:val="20"/>
          <w:szCs w:val="20"/>
          <w:lang w:val="fr-BE"/>
        </w:rPr>
        <w:t xml:space="preserve"> </w:t>
      </w:r>
      <w:r w:rsidR="003E4A15" w:rsidRPr="7C5B71B3">
        <w:rPr>
          <w:rFonts w:ascii="Calibri" w:hAnsi="Calibri"/>
          <w:sz w:val="20"/>
          <w:szCs w:val="20"/>
          <w:lang w:val="fr-BE"/>
        </w:rPr>
        <w:t xml:space="preserve">La recevabilité de la demande </w:t>
      </w:r>
      <w:r w:rsidR="00DB435E" w:rsidRPr="7C5B71B3">
        <w:rPr>
          <w:rFonts w:ascii="Calibri" w:hAnsi="Calibri" w:cs="Calibri"/>
          <w:sz w:val="20"/>
          <w:szCs w:val="20"/>
          <w:lang w:val="fr-BE"/>
        </w:rPr>
        <w:t>de décision-cadre pour accès précoce</w:t>
      </w:r>
      <w:r w:rsidR="003E4A15" w:rsidRPr="7C5B71B3">
        <w:rPr>
          <w:rFonts w:ascii="Calibri" w:hAnsi="Calibri"/>
          <w:sz w:val="20"/>
          <w:szCs w:val="20"/>
          <w:lang w:val="fr-BE"/>
        </w:rPr>
        <w:t xml:space="preserve">, introduite par le demandeur, ne sera considérée comme acquise que si tous les éléments prévus à l’article </w:t>
      </w:r>
      <w:r w:rsidR="00DB435E" w:rsidRPr="7C5B71B3">
        <w:rPr>
          <w:rFonts w:ascii="Calibri" w:hAnsi="Calibri"/>
          <w:sz w:val="20"/>
          <w:szCs w:val="20"/>
          <w:lang w:val="fr-BE"/>
        </w:rPr>
        <w:t>6</w:t>
      </w:r>
      <w:r w:rsidR="003E4A15" w:rsidRPr="7C5B71B3">
        <w:rPr>
          <w:rFonts w:ascii="Calibri" w:hAnsi="Calibri"/>
          <w:sz w:val="20"/>
          <w:szCs w:val="20"/>
          <w:lang w:val="fr-BE"/>
        </w:rPr>
        <w:t>, §</w:t>
      </w:r>
      <w:r w:rsidR="00DB435E" w:rsidRPr="7C5B71B3">
        <w:rPr>
          <w:rFonts w:ascii="Calibri" w:hAnsi="Calibri"/>
          <w:sz w:val="20"/>
          <w:szCs w:val="20"/>
          <w:lang w:val="fr-BE"/>
        </w:rPr>
        <w:t>2</w:t>
      </w:r>
      <w:r w:rsidR="003E4A15" w:rsidRPr="7C5B71B3">
        <w:rPr>
          <w:rFonts w:ascii="Calibri" w:hAnsi="Calibri"/>
          <w:sz w:val="20"/>
          <w:szCs w:val="20"/>
          <w:lang w:val="fr-BE"/>
        </w:rPr>
        <w:t xml:space="preserve"> de l’A.R. du </w:t>
      </w:r>
      <w:r w:rsidR="00D525E7" w:rsidRPr="2A406492">
        <w:rPr>
          <w:rFonts w:ascii="Calibri" w:hAnsi="Calibri" w:cs="Calibri"/>
          <w:sz w:val="20"/>
          <w:szCs w:val="20"/>
          <w:lang w:val="fr-BE"/>
        </w:rPr>
        <w:t>1</w:t>
      </w:r>
      <w:r w:rsidR="00D525E7">
        <w:rPr>
          <w:rFonts w:ascii="Calibri" w:hAnsi="Calibri" w:cs="Calibri"/>
          <w:sz w:val="20"/>
          <w:szCs w:val="20"/>
          <w:lang w:val="fr-BE"/>
        </w:rPr>
        <w:t>4 février</w:t>
      </w:r>
      <w:r w:rsidR="00D525E7" w:rsidRPr="2A406492">
        <w:rPr>
          <w:rFonts w:ascii="Calibri" w:hAnsi="Calibri" w:cs="Calibri"/>
          <w:sz w:val="20"/>
          <w:szCs w:val="20"/>
          <w:lang w:val="fr-BE"/>
        </w:rPr>
        <w:t xml:space="preserve"> </w:t>
      </w:r>
      <w:r w:rsidR="003E4A15" w:rsidRPr="7C5B71B3">
        <w:rPr>
          <w:rFonts w:ascii="Calibri" w:hAnsi="Calibri"/>
          <w:sz w:val="20"/>
          <w:szCs w:val="20"/>
          <w:lang w:val="fr-BE"/>
        </w:rPr>
        <w:t>2026 sont présents.</w:t>
      </w:r>
    </w:p>
    <w:p w14:paraId="4C2E4E94" w14:textId="77777777" w:rsidR="003E4A15" w:rsidRDefault="003E4A15" w:rsidP="00745332">
      <w:pPr>
        <w:rPr>
          <w:rFonts w:ascii="Calibri" w:hAnsi="Calibri" w:cs="Calibri"/>
          <w:sz w:val="20"/>
          <w:szCs w:val="20"/>
          <w:lang w:val="fr-BE"/>
        </w:rPr>
      </w:pPr>
    </w:p>
    <w:p w14:paraId="0F6064DC" w14:textId="77777777" w:rsidR="003E4A15" w:rsidRPr="00745332" w:rsidRDefault="003E4A15" w:rsidP="00745332">
      <w:pPr>
        <w:jc w:val="both"/>
        <w:rPr>
          <w:rFonts w:ascii="Calibri" w:hAnsi="Calibri"/>
          <w:sz w:val="20"/>
          <w:lang w:val="fr-BE"/>
        </w:rPr>
      </w:pPr>
      <w:r w:rsidRPr="00745332">
        <w:rPr>
          <w:rFonts w:ascii="Calibri" w:hAnsi="Calibri"/>
          <w:sz w:val="20"/>
          <w:lang w:val="fr-BE"/>
        </w:rPr>
        <w:t>Pour la présentation de ces éléments, il est recommandé de respecter le format proposé ci-dessous.</w:t>
      </w:r>
    </w:p>
    <w:p w14:paraId="7338E8EB" w14:textId="77777777" w:rsidR="001F5E93" w:rsidRPr="00745332" w:rsidRDefault="001F5E93" w:rsidP="00745332">
      <w:pPr>
        <w:jc w:val="both"/>
        <w:rPr>
          <w:rFonts w:ascii="Calibri" w:hAnsi="Calibri"/>
          <w:sz w:val="20"/>
          <w:lang w:val="fr-BE"/>
        </w:rPr>
      </w:pPr>
    </w:p>
    <w:p w14:paraId="6B1FC76A" w14:textId="797FE83C" w:rsidR="005848C7" w:rsidRPr="005848C7" w:rsidRDefault="00745332" w:rsidP="2A406492">
      <w:pPr>
        <w:numPr>
          <w:ilvl w:val="0"/>
          <w:numId w:val="19"/>
        </w:numPr>
        <w:ind w:left="0" w:firstLine="0"/>
        <w:jc w:val="both"/>
        <w:rPr>
          <w:rFonts w:ascii="Calibri" w:hAnsi="Calibri"/>
          <w:sz w:val="20"/>
          <w:szCs w:val="20"/>
          <w:lang w:val="fr-BE"/>
        </w:rPr>
      </w:pPr>
      <w:r w:rsidRPr="2A406492">
        <w:rPr>
          <w:rFonts w:ascii="Calibri" w:hAnsi="Calibri"/>
          <w:sz w:val="20"/>
          <w:szCs w:val="20"/>
          <w:lang w:val="fr-BE"/>
        </w:rPr>
        <w:t xml:space="preserve"> </w:t>
      </w:r>
      <w:r w:rsidR="003E4A15" w:rsidRPr="2A406492">
        <w:rPr>
          <w:rFonts w:ascii="Calibri" w:hAnsi="Calibri"/>
          <w:sz w:val="20"/>
          <w:szCs w:val="20"/>
          <w:lang w:val="fr-BE"/>
        </w:rPr>
        <w:t xml:space="preserve">Toutes les argumentations scientifiques présentées doivent être accompagnées d’une référence et d’une copie des études publiées. Pour les études non publiées, pertinentes dans le cadre de la demande, un rapport complet de fin d’étude (« end of study report ») </w:t>
      </w:r>
      <w:r w:rsidR="005848C7" w:rsidRPr="2A406492">
        <w:rPr>
          <w:rFonts w:ascii="Calibri" w:hAnsi="Calibri"/>
          <w:sz w:val="20"/>
          <w:szCs w:val="20"/>
          <w:lang w:val="fr-BE"/>
        </w:rPr>
        <w:t xml:space="preserve">pour chacune de ces études doit être mis à disposition, si disponible. </w:t>
      </w:r>
    </w:p>
    <w:p w14:paraId="424CFBFA" w14:textId="3D322C70" w:rsidR="001F5E93" w:rsidRPr="00745332" w:rsidRDefault="001F5E93" w:rsidP="2A406492">
      <w:pPr>
        <w:jc w:val="both"/>
        <w:rPr>
          <w:rFonts w:ascii="Calibri" w:hAnsi="Calibri"/>
          <w:sz w:val="20"/>
          <w:szCs w:val="20"/>
          <w:lang w:val="fr-BE"/>
        </w:rPr>
      </w:pPr>
    </w:p>
    <w:p w14:paraId="50CA8607" w14:textId="77777777" w:rsidR="00DB435E" w:rsidRPr="00DB435E" w:rsidRDefault="00DB435E" w:rsidP="00745332">
      <w:pPr>
        <w:rPr>
          <w:rFonts w:ascii="Calibri" w:hAnsi="Calibri" w:cs="Calibri"/>
          <w:sz w:val="20"/>
          <w:szCs w:val="20"/>
          <w:lang w:val="fr-BE"/>
        </w:rPr>
      </w:pPr>
    </w:p>
    <w:p w14:paraId="6CA7CBFF" w14:textId="77777777" w:rsidR="00DB435E" w:rsidRPr="00DB435E" w:rsidRDefault="00DB435E" w:rsidP="00745332">
      <w:pPr>
        <w:rPr>
          <w:rFonts w:ascii="Calibri" w:hAnsi="Calibri" w:cs="Calibri"/>
          <w:sz w:val="20"/>
          <w:szCs w:val="20"/>
          <w:lang w:val="fr-BE"/>
        </w:rPr>
      </w:pPr>
    </w:p>
    <w:p w14:paraId="1AC57BE1" w14:textId="14F670C4" w:rsidR="003E4A15" w:rsidRPr="00745332" w:rsidRDefault="003E4A15" w:rsidP="7C5B71B3">
      <w:pPr>
        <w:rPr>
          <w:rFonts w:ascii="Calibri" w:hAnsi="Calibri" w:cs="Calibri"/>
          <w:b/>
          <w:bCs/>
          <w:lang w:val="fr-FR"/>
        </w:rPr>
      </w:pPr>
    </w:p>
    <w:p w14:paraId="65B053C9" w14:textId="264CE223" w:rsidR="003E4A15" w:rsidRPr="00D525E7" w:rsidRDefault="003E4A15" w:rsidP="00745332">
      <w:pPr>
        <w:rPr>
          <w:lang w:val="fr-BE"/>
        </w:rPr>
      </w:pPr>
      <w:r w:rsidRPr="00D525E7">
        <w:rPr>
          <w:lang w:val="fr-BE"/>
        </w:rPr>
        <w:br w:type="page"/>
      </w:r>
    </w:p>
    <w:p w14:paraId="03495920" w14:textId="6287B2E9" w:rsidR="003E4A15" w:rsidRPr="00745332" w:rsidRDefault="003E4A15" w:rsidP="7C5B71B3">
      <w:pPr>
        <w:rPr>
          <w:rFonts w:ascii="Calibri" w:hAnsi="Calibri" w:cs="Calibri"/>
          <w:b/>
          <w:bCs/>
          <w:lang w:val="fr-FR"/>
        </w:rPr>
      </w:pPr>
      <w:r w:rsidRPr="2A406492">
        <w:rPr>
          <w:rFonts w:ascii="Calibri" w:hAnsi="Calibri" w:cs="Calibri"/>
          <w:b/>
          <w:bCs/>
          <w:lang w:val="fr-FR"/>
        </w:rPr>
        <w:lastRenderedPageBreak/>
        <w:t>FORMAT</w:t>
      </w:r>
    </w:p>
    <w:p w14:paraId="56784D6C" w14:textId="77777777" w:rsidR="0013721C" w:rsidRDefault="0013721C" w:rsidP="2A406492">
      <w:pPr>
        <w:spacing w:line="259" w:lineRule="auto"/>
        <w:jc w:val="both"/>
        <w:rPr>
          <w:rFonts w:ascii="Calibri" w:hAnsi="Calibri"/>
          <w:sz w:val="20"/>
          <w:szCs w:val="20"/>
          <w:lang w:val="nl-BE"/>
        </w:rPr>
      </w:pPr>
      <w:bookmarkStart w:id="0" w:name="_Hlk213945050"/>
      <w:bookmarkStart w:id="1" w:name="_Hlk219966509"/>
      <w:bookmarkStart w:id="2" w:name="_Hlk219966543"/>
    </w:p>
    <w:p w14:paraId="055A72FF" w14:textId="77777777" w:rsidR="0013721C" w:rsidRPr="00CD64AB" w:rsidRDefault="0013721C" w:rsidP="2A406492">
      <w:pPr>
        <w:numPr>
          <w:ilvl w:val="0"/>
          <w:numId w:val="15"/>
        </w:numPr>
        <w:ind w:left="283" w:hanging="357"/>
        <w:jc w:val="both"/>
        <w:rPr>
          <w:rFonts w:ascii="Calibri" w:hAnsi="Calibri"/>
          <w:b/>
          <w:bCs/>
          <w:i/>
          <w:iCs/>
          <w:lang w:val="fr-BE"/>
        </w:rPr>
      </w:pPr>
      <w:r w:rsidRPr="2A406492">
        <w:rPr>
          <w:rFonts w:ascii="Calibri" w:hAnsi="Calibri" w:cs="Calibri"/>
          <w:b/>
          <w:bCs/>
          <w:i/>
          <w:iCs/>
          <w:lang w:val="fr-BE"/>
        </w:rPr>
        <w:t>Identification du besoin médical non rencontré</w:t>
      </w:r>
    </w:p>
    <w:p w14:paraId="79FA419A" w14:textId="77777777" w:rsidR="0013721C" w:rsidRPr="001F5E93" w:rsidRDefault="0013721C" w:rsidP="2A406492">
      <w:pPr>
        <w:pStyle w:val="ListParagraph"/>
        <w:contextualSpacing w:val="0"/>
        <w:jc w:val="both"/>
        <w:rPr>
          <w:rFonts w:ascii="Calibri" w:hAnsi="Calibri"/>
          <w:sz w:val="20"/>
          <w:szCs w:val="20"/>
          <w:lang w:val="fr-BE"/>
        </w:rPr>
      </w:pPr>
    </w:p>
    <w:p w14:paraId="6D81A572" w14:textId="77777777" w:rsidR="0013721C" w:rsidRPr="0013721C" w:rsidRDefault="0013721C" w:rsidP="2A406492">
      <w:pPr>
        <w:jc w:val="both"/>
        <w:rPr>
          <w:rFonts w:ascii="Calibri" w:eastAsia="Calibri" w:hAnsi="Calibri" w:cs="Calibri"/>
          <w:sz w:val="20"/>
          <w:szCs w:val="20"/>
          <w:lang w:val="fr-BE"/>
        </w:rPr>
      </w:pPr>
      <w:r w:rsidRPr="2A406492">
        <w:rPr>
          <w:rFonts w:ascii="Calibri" w:eastAsia="Calibri" w:hAnsi="Calibri" w:cs="Calibri"/>
          <w:sz w:val="20"/>
          <w:szCs w:val="20"/>
          <w:lang w:val="fr-BE"/>
        </w:rPr>
        <w:t>Données supplémentaires issues de la littérature scientifique publiées depuis l’inscription de l’indication sur la liste et qui étayent davantage le besoin médical non rencontré, conformément à la méthodologie/aux critères établis.</w:t>
      </w:r>
    </w:p>
    <w:p w14:paraId="68C84D0C" w14:textId="77777777" w:rsidR="0013721C" w:rsidRPr="001F5E93" w:rsidRDefault="0013721C" w:rsidP="2A406492">
      <w:pPr>
        <w:jc w:val="both"/>
        <w:rPr>
          <w:rFonts w:ascii="Calibri" w:eastAsia="Calibri" w:hAnsi="Calibri" w:cs="Calibri"/>
          <w:sz w:val="20"/>
          <w:szCs w:val="20"/>
          <w:lang w:val="fr-BE"/>
        </w:rPr>
      </w:pPr>
    </w:p>
    <w:bookmarkEnd w:id="0"/>
    <w:bookmarkEnd w:id="1"/>
    <w:bookmarkEnd w:id="2"/>
    <w:p w14:paraId="02031413" w14:textId="77777777" w:rsidR="0013721C" w:rsidRPr="0013721C" w:rsidRDefault="0013721C" w:rsidP="2A406492">
      <w:pPr>
        <w:rPr>
          <w:rFonts w:ascii="Calibri" w:hAnsi="Calibri" w:cs="Calibri"/>
          <w:i/>
          <w:iCs/>
          <w:lang w:val="fr-BE"/>
        </w:rPr>
      </w:pPr>
    </w:p>
    <w:p w14:paraId="043ABA2F" w14:textId="23A5575E" w:rsidR="00E84C90" w:rsidRPr="00CD64AB" w:rsidRDefault="003E4A15" w:rsidP="2A406492">
      <w:pPr>
        <w:pStyle w:val="ListParagraph"/>
        <w:numPr>
          <w:ilvl w:val="0"/>
          <w:numId w:val="5"/>
        </w:numPr>
        <w:contextualSpacing w:val="0"/>
        <w:rPr>
          <w:rFonts w:ascii="Calibri" w:hAnsi="Calibri" w:cs="Calibri"/>
          <w:i/>
          <w:iCs/>
          <w:lang w:val="fr-BE"/>
        </w:rPr>
      </w:pPr>
      <w:r w:rsidRPr="2A406492">
        <w:rPr>
          <w:rFonts w:ascii="Calibri" w:hAnsi="Calibri" w:cs="Calibri"/>
          <w:b/>
          <w:bCs/>
          <w:i/>
          <w:iCs/>
          <w:lang w:val="fr-BE"/>
        </w:rPr>
        <w:t>Identification et caractéristiques d</w:t>
      </w:r>
      <w:r w:rsidR="00A31747" w:rsidRPr="2A406492">
        <w:rPr>
          <w:rFonts w:ascii="Calibri" w:hAnsi="Calibri" w:cs="Calibri"/>
          <w:b/>
          <w:bCs/>
          <w:i/>
          <w:iCs/>
          <w:lang w:val="fr-BE"/>
        </w:rPr>
        <w:t>u médicament / d</w:t>
      </w:r>
      <w:r w:rsidRPr="2A406492">
        <w:rPr>
          <w:rFonts w:ascii="Calibri" w:hAnsi="Calibri" w:cs="Calibri"/>
          <w:b/>
          <w:bCs/>
          <w:i/>
          <w:iCs/>
          <w:lang w:val="fr-BE"/>
        </w:rPr>
        <w:t>e la spécialité</w:t>
      </w:r>
    </w:p>
    <w:p w14:paraId="5C054B3B" w14:textId="77777777" w:rsidR="00E84C90" w:rsidRPr="00E84C90" w:rsidRDefault="00E84C90" w:rsidP="00745332">
      <w:pPr>
        <w:pStyle w:val="ListParagraph"/>
        <w:contextualSpacing w:val="0"/>
        <w:rPr>
          <w:rFonts w:ascii="Calibri" w:hAnsi="Calibri" w:cs="Calibri"/>
          <w:sz w:val="20"/>
          <w:szCs w:val="20"/>
          <w:lang w:val="fr-BE"/>
        </w:rPr>
      </w:pPr>
    </w:p>
    <w:p w14:paraId="6D47CCA8" w14:textId="511BB855" w:rsidR="003E4A15" w:rsidRPr="00E84C90" w:rsidRDefault="003E4A15" w:rsidP="00745332">
      <w:pPr>
        <w:rPr>
          <w:rFonts w:ascii="Calibri" w:hAnsi="Calibri" w:cs="Calibri"/>
          <w:sz w:val="20"/>
          <w:szCs w:val="20"/>
          <w:lang w:val="fr-BE"/>
        </w:rPr>
      </w:pPr>
      <w:r w:rsidRPr="2A406492">
        <w:rPr>
          <w:rFonts w:ascii="Calibri" w:hAnsi="Calibri" w:cs="Calibri"/>
          <w:sz w:val="20"/>
          <w:szCs w:val="20"/>
          <w:lang w:val="fr-BE"/>
        </w:rPr>
        <w:t xml:space="preserve">Les informations suivantes concernant </w:t>
      </w:r>
      <w:r w:rsidR="00DB435E" w:rsidRPr="2A406492">
        <w:rPr>
          <w:rFonts w:ascii="Calibri" w:hAnsi="Calibri" w:cs="Calibri"/>
          <w:sz w:val="20"/>
          <w:szCs w:val="20"/>
          <w:lang w:val="fr-BE"/>
        </w:rPr>
        <w:t>le médicament/</w:t>
      </w:r>
      <w:r w:rsidRPr="2A406492">
        <w:rPr>
          <w:rFonts w:ascii="Calibri" w:hAnsi="Calibri" w:cs="Calibri"/>
          <w:sz w:val="20"/>
          <w:szCs w:val="20"/>
          <w:lang w:val="fr-BE"/>
        </w:rPr>
        <w:t xml:space="preserve">la spécialité </w:t>
      </w:r>
      <w:r w:rsidR="00DB435E" w:rsidRPr="2A406492">
        <w:rPr>
          <w:rFonts w:ascii="Calibri" w:hAnsi="Calibri" w:cs="Calibri"/>
          <w:sz w:val="20"/>
          <w:szCs w:val="20"/>
          <w:lang w:val="fr-BE"/>
        </w:rPr>
        <w:t xml:space="preserve">pharmaceutique </w:t>
      </w:r>
      <w:r w:rsidRPr="2A406492">
        <w:rPr>
          <w:rFonts w:ascii="Calibri" w:hAnsi="Calibri" w:cs="Calibri"/>
          <w:sz w:val="20"/>
          <w:szCs w:val="20"/>
          <w:lang w:val="fr-BE"/>
        </w:rPr>
        <w:t>doivent être fournies dans le dossier :</w:t>
      </w:r>
    </w:p>
    <w:p w14:paraId="7941B750" w14:textId="77777777" w:rsidR="00E84C90" w:rsidRPr="00FE48F9" w:rsidRDefault="00E84C90" w:rsidP="2A406492">
      <w:pPr>
        <w:jc w:val="both"/>
        <w:rPr>
          <w:rFonts w:ascii="Calibri" w:hAnsi="Calibri"/>
          <w:sz w:val="20"/>
          <w:szCs w:val="20"/>
          <w:lang w:val="fr-BE"/>
        </w:rPr>
      </w:pPr>
    </w:p>
    <w:p w14:paraId="4A22E2FA" w14:textId="77777777" w:rsidR="00FE48F9" w:rsidRPr="00FE48F9" w:rsidRDefault="00E84C90" w:rsidP="2A406492">
      <w:pPr>
        <w:pStyle w:val="ListParagraph"/>
        <w:numPr>
          <w:ilvl w:val="0"/>
          <w:numId w:val="25"/>
        </w:numPr>
        <w:jc w:val="both"/>
        <w:rPr>
          <w:rFonts w:ascii="Calibri" w:hAnsi="Calibri"/>
          <w:sz w:val="20"/>
          <w:szCs w:val="20"/>
          <w:lang w:val="fr-BE"/>
        </w:rPr>
      </w:pPr>
      <w:r w:rsidRPr="2A406492">
        <w:rPr>
          <w:rFonts w:ascii="Calibri" w:hAnsi="Calibri" w:cs="Calibri"/>
          <w:sz w:val="20"/>
          <w:szCs w:val="20"/>
          <w:lang w:val="fr-BE"/>
        </w:rPr>
        <w:t xml:space="preserve">Nom complet </w:t>
      </w:r>
      <w:r w:rsidR="00DB435E" w:rsidRPr="2A406492">
        <w:rPr>
          <w:rFonts w:ascii="Calibri" w:hAnsi="Calibri" w:cs="Calibri"/>
          <w:sz w:val="20"/>
          <w:szCs w:val="20"/>
          <w:lang w:val="fr-BE"/>
        </w:rPr>
        <w:t>du médicament/de la spécialité pharmaceutique</w:t>
      </w:r>
    </w:p>
    <w:p w14:paraId="5A6441BA" w14:textId="77777777" w:rsidR="00FE48F9" w:rsidRDefault="00E84C90" w:rsidP="2A406492">
      <w:pPr>
        <w:pStyle w:val="ListParagraph"/>
        <w:numPr>
          <w:ilvl w:val="0"/>
          <w:numId w:val="25"/>
        </w:numPr>
        <w:jc w:val="both"/>
        <w:rPr>
          <w:rFonts w:ascii="Calibri" w:hAnsi="Calibri"/>
          <w:sz w:val="20"/>
          <w:szCs w:val="20"/>
          <w:lang w:val="fr-BE"/>
        </w:rPr>
      </w:pPr>
      <w:r w:rsidRPr="2A406492">
        <w:rPr>
          <w:rFonts w:ascii="Calibri" w:hAnsi="Calibri" w:cs="Calibri"/>
          <w:sz w:val="20"/>
          <w:szCs w:val="20"/>
          <w:lang w:val="fr-BE"/>
        </w:rPr>
        <w:t>Composition qualitative et quantitative de tous les composants</w:t>
      </w:r>
      <w:r w:rsidRPr="2A406492">
        <w:rPr>
          <w:rFonts w:ascii="Calibri" w:hAnsi="Calibri"/>
          <w:sz w:val="20"/>
          <w:szCs w:val="20"/>
          <w:lang w:val="fr-BE"/>
        </w:rPr>
        <w:t xml:space="preserve"> </w:t>
      </w:r>
    </w:p>
    <w:p w14:paraId="309A8BF9" w14:textId="77777777" w:rsidR="00FE48F9" w:rsidRPr="00FE48F9" w:rsidRDefault="00E84C90" w:rsidP="2A406492">
      <w:pPr>
        <w:pStyle w:val="ListParagraph"/>
        <w:numPr>
          <w:ilvl w:val="0"/>
          <w:numId w:val="25"/>
        </w:numPr>
        <w:jc w:val="both"/>
        <w:rPr>
          <w:rFonts w:ascii="Calibri" w:hAnsi="Calibri"/>
          <w:sz w:val="20"/>
          <w:szCs w:val="20"/>
          <w:lang w:val="fr-BE"/>
        </w:rPr>
      </w:pPr>
      <w:r w:rsidRPr="2A406492">
        <w:rPr>
          <w:rFonts w:ascii="Calibri" w:hAnsi="Calibri" w:cs="Calibri"/>
          <w:sz w:val="20"/>
          <w:szCs w:val="20"/>
          <w:lang w:val="fr-BE"/>
        </w:rPr>
        <w:t>Dénomination commune internationale (DCI), si elle existe, ou dénomination chimique</w:t>
      </w:r>
      <w:r w:rsidRPr="2A406492">
        <w:rPr>
          <w:rFonts w:ascii="Calibri" w:hAnsi="Calibri"/>
          <w:sz w:val="20"/>
          <w:szCs w:val="20"/>
          <w:lang w:val="fr-BE"/>
        </w:rPr>
        <w:t xml:space="preserve"> </w:t>
      </w:r>
    </w:p>
    <w:p w14:paraId="10237A28" w14:textId="028C7D6B" w:rsidR="00FE48F9" w:rsidRPr="00FE48F9" w:rsidRDefault="00E84C90" w:rsidP="2A406492">
      <w:pPr>
        <w:pStyle w:val="ListParagraph"/>
        <w:numPr>
          <w:ilvl w:val="0"/>
          <w:numId w:val="25"/>
        </w:numPr>
        <w:jc w:val="both"/>
        <w:rPr>
          <w:rFonts w:ascii="Calibri" w:hAnsi="Calibri"/>
          <w:sz w:val="20"/>
          <w:szCs w:val="20"/>
          <w:lang w:val="fr-BE"/>
        </w:rPr>
      </w:pPr>
      <w:r w:rsidRPr="2A406492">
        <w:rPr>
          <w:rFonts w:ascii="Calibri" w:hAnsi="Calibri" w:cs="Calibri"/>
          <w:sz w:val="20"/>
          <w:szCs w:val="20"/>
          <w:lang w:val="fr-BE"/>
        </w:rPr>
        <w:t>Volume total du conditionnement</w:t>
      </w:r>
      <w:r w:rsidR="00FE48F9" w:rsidRPr="2A406492">
        <w:rPr>
          <w:rFonts w:ascii="Calibri" w:hAnsi="Calibri" w:cs="Calibri"/>
          <w:sz w:val="20"/>
          <w:szCs w:val="20"/>
          <w:lang w:val="fr-BE"/>
        </w:rPr>
        <w:t xml:space="preserve"> (si d’application)</w:t>
      </w:r>
      <w:r w:rsidRPr="2A406492">
        <w:rPr>
          <w:rFonts w:ascii="Calibri" w:hAnsi="Calibri"/>
          <w:sz w:val="20"/>
          <w:szCs w:val="20"/>
          <w:lang w:val="fr-BE"/>
        </w:rPr>
        <w:t xml:space="preserve"> </w:t>
      </w:r>
    </w:p>
    <w:p w14:paraId="201F3475" w14:textId="77777777" w:rsidR="00FE48F9" w:rsidRDefault="00E84C90" w:rsidP="2A406492">
      <w:pPr>
        <w:pStyle w:val="ListParagraph"/>
        <w:numPr>
          <w:ilvl w:val="0"/>
          <w:numId w:val="25"/>
        </w:numPr>
        <w:jc w:val="both"/>
        <w:rPr>
          <w:rFonts w:ascii="Calibri" w:hAnsi="Calibri"/>
          <w:sz w:val="20"/>
          <w:szCs w:val="20"/>
          <w:lang w:val="fr-BE"/>
        </w:rPr>
      </w:pPr>
      <w:r w:rsidRPr="2A406492">
        <w:rPr>
          <w:rFonts w:ascii="Calibri" w:hAnsi="Calibri" w:cs="Calibri"/>
          <w:sz w:val="20"/>
          <w:szCs w:val="20"/>
          <w:lang w:val="fr-BE"/>
        </w:rPr>
        <w:t>Posologies et doses proposées pour l’indication thérapeutique concernée</w:t>
      </w:r>
      <w:r w:rsidRPr="2A406492">
        <w:rPr>
          <w:rFonts w:ascii="Calibri" w:hAnsi="Calibri"/>
          <w:sz w:val="20"/>
          <w:szCs w:val="20"/>
          <w:lang w:val="fr-BE"/>
        </w:rPr>
        <w:t xml:space="preserve"> </w:t>
      </w:r>
    </w:p>
    <w:p w14:paraId="5661BDCB" w14:textId="77777777" w:rsidR="00FE48F9" w:rsidRDefault="00E84C90" w:rsidP="2A406492">
      <w:pPr>
        <w:pStyle w:val="ListParagraph"/>
        <w:numPr>
          <w:ilvl w:val="0"/>
          <w:numId w:val="25"/>
        </w:numPr>
        <w:jc w:val="both"/>
        <w:rPr>
          <w:rFonts w:ascii="Calibri" w:hAnsi="Calibri"/>
          <w:sz w:val="20"/>
          <w:szCs w:val="20"/>
          <w:lang w:val="fr-BE"/>
        </w:rPr>
      </w:pPr>
      <w:r w:rsidRPr="2A406492">
        <w:rPr>
          <w:rFonts w:ascii="Calibri" w:hAnsi="Calibri" w:cs="Calibri"/>
          <w:sz w:val="20"/>
          <w:szCs w:val="20"/>
          <w:lang w:val="fr-BE"/>
        </w:rPr>
        <w:t>Forme pharmaceutique, mode et voie d’administration</w:t>
      </w:r>
      <w:r w:rsidRPr="2A406492">
        <w:rPr>
          <w:rFonts w:ascii="Calibri" w:hAnsi="Calibri"/>
          <w:sz w:val="20"/>
          <w:szCs w:val="20"/>
          <w:lang w:val="fr-BE"/>
        </w:rPr>
        <w:t xml:space="preserve"> </w:t>
      </w:r>
    </w:p>
    <w:p w14:paraId="46F4C66F" w14:textId="77777777" w:rsidR="00FE48F9" w:rsidRDefault="00FE48F9" w:rsidP="2A406492">
      <w:pPr>
        <w:pStyle w:val="ListParagraph"/>
        <w:jc w:val="both"/>
        <w:rPr>
          <w:rFonts w:ascii="Calibri" w:hAnsi="Calibri"/>
          <w:sz w:val="20"/>
          <w:szCs w:val="20"/>
          <w:lang w:val="fr-BE"/>
        </w:rPr>
      </w:pPr>
    </w:p>
    <w:p w14:paraId="591E93FA" w14:textId="376D7B3F" w:rsidR="00FE48F9" w:rsidRPr="00FE48F9" w:rsidRDefault="00DB435E" w:rsidP="2A406492">
      <w:pPr>
        <w:pStyle w:val="ListParagraph"/>
        <w:numPr>
          <w:ilvl w:val="0"/>
          <w:numId w:val="25"/>
        </w:numPr>
        <w:jc w:val="both"/>
        <w:rPr>
          <w:rFonts w:ascii="Calibri" w:hAnsi="Calibri"/>
          <w:sz w:val="20"/>
          <w:szCs w:val="20"/>
          <w:lang w:val="fr-BE"/>
        </w:rPr>
      </w:pPr>
      <w:r w:rsidRPr="2A406492">
        <w:rPr>
          <w:rFonts w:ascii="Calibri" w:hAnsi="Calibri" w:cs="Calibri"/>
          <w:sz w:val="20"/>
          <w:szCs w:val="20"/>
          <w:lang w:val="fr-BE"/>
        </w:rPr>
        <w:t>Informations communiquées à l’Agence fédérale des médicaments et des produits de santé conformément à l’article 106 ou 108 de l’A.R. du 14 décembre 2006 relatif aux médicaments à usage humain, selon que le médicament/la spécialité dispose ou non d’une autorisation de mise sur le marché en Belgique, ainsi que les avis rendus dans le cadre de l’examen des demandes mentionnées</w:t>
      </w:r>
      <w:r w:rsidR="00FE48F9" w:rsidRPr="2A406492">
        <w:rPr>
          <w:rFonts w:ascii="Calibri" w:hAnsi="Calibri" w:cs="Calibri"/>
          <w:sz w:val="20"/>
          <w:szCs w:val="20"/>
          <w:lang w:val="fr-BE"/>
        </w:rPr>
        <w:t>.</w:t>
      </w:r>
    </w:p>
    <w:p w14:paraId="602A38EC" w14:textId="77777777" w:rsidR="00FE48F9" w:rsidRPr="00FE48F9" w:rsidRDefault="00FE48F9" w:rsidP="2A406492">
      <w:pPr>
        <w:jc w:val="both"/>
        <w:rPr>
          <w:rFonts w:ascii="Calibri" w:hAnsi="Calibri"/>
          <w:sz w:val="20"/>
          <w:szCs w:val="20"/>
          <w:lang w:val="fr-BE"/>
        </w:rPr>
      </w:pPr>
    </w:p>
    <w:p w14:paraId="1FAE24E9" w14:textId="77777777" w:rsidR="00FE48F9" w:rsidRPr="00FE48F9" w:rsidRDefault="00DB435E" w:rsidP="2A406492">
      <w:pPr>
        <w:pStyle w:val="ListParagraph"/>
        <w:numPr>
          <w:ilvl w:val="0"/>
          <w:numId w:val="25"/>
        </w:numPr>
        <w:jc w:val="both"/>
        <w:rPr>
          <w:rFonts w:ascii="Calibri" w:hAnsi="Calibri"/>
          <w:sz w:val="20"/>
          <w:szCs w:val="20"/>
          <w:lang w:val="fr-BE"/>
        </w:rPr>
      </w:pPr>
      <w:r w:rsidRPr="2A406492">
        <w:rPr>
          <w:rFonts w:ascii="Calibri" w:hAnsi="Calibri" w:cs="Calibri"/>
          <w:sz w:val="20"/>
          <w:szCs w:val="20"/>
          <w:lang w:val="fr-BE"/>
        </w:rPr>
        <w:t xml:space="preserve">Si le médicament ne dispose pas d’une autorisation de mise sur le marché en Belgique, copie de toute autorisation de mise sur le marché ou des décisions de refus dans tout pays </w:t>
      </w:r>
    </w:p>
    <w:p w14:paraId="76CACBE5" w14:textId="77777777" w:rsidR="00FE48F9" w:rsidRPr="00FE48F9" w:rsidRDefault="00FE48F9" w:rsidP="2A406492">
      <w:pPr>
        <w:pStyle w:val="ListParagraph"/>
        <w:rPr>
          <w:rFonts w:ascii="Calibri" w:hAnsi="Calibri"/>
          <w:sz w:val="20"/>
          <w:szCs w:val="20"/>
          <w:lang w:val="fr-BE"/>
        </w:rPr>
      </w:pPr>
    </w:p>
    <w:p w14:paraId="2D881B7E" w14:textId="77777777" w:rsidR="00FE48F9" w:rsidRPr="00FE48F9" w:rsidRDefault="00DB435E" w:rsidP="2A406492">
      <w:pPr>
        <w:pStyle w:val="ListParagraph"/>
        <w:numPr>
          <w:ilvl w:val="0"/>
          <w:numId w:val="25"/>
        </w:numPr>
        <w:jc w:val="both"/>
        <w:rPr>
          <w:rFonts w:ascii="Calibri" w:hAnsi="Calibri"/>
          <w:sz w:val="20"/>
          <w:szCs w:val="20"/>
          <w:lang w:val="fr-BE"/>
        </w:rPr>
      </w:pPr>
      <w:r w:rsidRPr="2A406492">
        <w:rPr>
          <w:rFonts w:ascii="Calibri" w:hAnsi="Calibri"/>
          <w:sz w:val="20"/>
          <w:szCs w:val="20"/>
          <w:lang w:val="fr-BE"/>
        </w:rPr>
        <w:t xml:space="preserve">Délai pour introduire une demande d’autorisation de mise sur le marché, </w:t>
      </w:r>
      <w:r w:rsidRPr="2A406492">
        <w:rPr>
          <w:rFonts w:ascii="Calibri" w:hAnsi="Calibri" w:cs="Calibri"/>
          <w:sz w:val="20"/>
          <w:szCs w:val="20"/>
          <w:lang w:val="fr-BE"/>
        </w:rPr>
        <w:t xml:space="preserve">ce délai ne pouvant excéder six mois à compter de la date de </w:t>
      </w:r>
      <w:r w:rsidRPr="2A406492">
        <w:rPr>
          <w:rFonts w:ascii="Calibri" w:hAnsi="Calibri"/>
          <w:sz w:val="20"/>
          <w:szCs w:val="20"/>
          <w:lang w:val="fr-BE"/>
        </w:rPr>
        <w:t xml:space="preserve">la demande </w:t>
      </w:r>
      <w:r w:rsidRPr="2A406492">
        <w:rPr>
          <w:rFonts w:ascii="Calibri" w:hAnsi="Calibri" w:cs="Calibri"/>
          <w:sz w:val="20"/>
          <w:szCs w:val="20"/>
          <w:lang w:val="fr-BE"/>
        </w:rPr>
        <w:t>de décision-cadre pour accès précoce</w:t>
      </w:r>
      <w:r w:rsidR="00FE48F9" w:rsidRPr="2A406492">
        <w:rPr>
          <w:rFonts w:ascii="Calibri" w:hAnsi="Calibri"/>
          <w:sz w:val="20"/>
          <w:szCs w:val="20"/>
          <w:lang w:val="fr-BE"/>
        </w:rPr>
        <w:t xml:space="preserve">. </w:t>
      </w:r>
    </w:p>
    <w:p w14:paraId="59938C69" w14:textId="77777777" w:rsidR="00FE48F9" w:rsidRPr="00FE48F9" w:rsidRDefault="00FE48F9" w:rsidP="00FE48F9">
      <w:pPr>
        <w:pStyle w:val="ListParagraph"/>
        <w:rPr>
          <w:rFonts w:ascii="Calibri" w:hAnsi="Calibri" w:cs="Calibri"/>
          <w:sz w:val="20"/>
          <w:szCs w:val="20"/>
          <w:lang w:val="fr-BE"/>
        </w:rPr>
      </w:pPr>
    </w:p>
    <w:p w14:paraId="201685DD" w14:textId="6EE04A1D" w:rsidR="00E84C90" w:rsidRPr="00FE48F9" w:rsidRDefault="00E84C90" w:rsidP="2A406492">
      <w:pPr>
        <w:pStyle w:val="ListParagraph"/>
        <w:numPr>
          <w:ilvl w:val="0"/>
          <w:numId w:val="25"/>
        </w:numPr>
        <w:jc w:val="both"/>
        <w:rPr>
          <w:rFonts w:ascii="Calibri" w:hAnsi="Calibri"/>
          <w:sz w:val="20"/>
          <w:szCs w:val="20"/>
          <w:lang w:val="fr-BE"/>
        </w:rPr>
      </w:pPr>
      <w:r w:rsidRPr="2A406492">
        <w:rPr>
          <w:rFonts w:ascii="Calibri" w:hAnsi="Calibri" w:cs="Calibri"/>
          <w:sz w:val="20"/>
          <w:szCs w:val="20"/>
          <w:lang w:val="fr-BE"/>
        </w:rPr>
        <w:t xml:space="preserve">Délai pour une demande de remboursement après obtention de l’autorisation de mise sur le marché, ce délai ne pouvant excéder six mois à compter de la date de </w:t>
      </w:r>
      <w:bookmarkStart w:id="3" w:name="_Hlk216857157"/>
      <w:r w:rsidR="00DB435E" w:rsidRPr="2A406492">
        <w:rPr>
          <w:rFonts w:ascii="Calibri" w:hAnsi="Calibri" w:cs="Calibri"/>
          <w:sz w:val="20"/>
          <w:szCs w:val="20"/>
          <w:lang w:val="fr-BE"/>
        </w:rPr>
        <w:t>réception de l’</w:t>
      </w:r>
      <w:r w:rsidRPr="2A406492">
        <w:rPr>
          <w:rFonts w:ascii="Calibri" w:hAnsi="Calibri" w:cs="Calibri"/>
          <w:sz w:val="20"/>
          <w:szCs w:val="20"/>
          <w:lang w:val="fr-BE"/>
        </w:rPr>
        <w:t>autorisation</w:t>
      </w:r>
    </w:p>
    <w:bookmarkEnd w:id="3"/>
    <w:p w14:paraId="0E787742" w14:textId="77777777" w:rsidR="00DB435E" w:rsidRPr="003E4A15" w:rsidRDefault="00DB435E" w:rsidP="2A406492">
      <w:pPr>
        <w:rPr>
          <w:rFonts w:ascii="Calibri" w:hAnsi="Calibri" w:cs="Calibri"/>
          <w:b/>
          <w:bCs/>
          <w:i/>
          <w:iCs/>
          <w:sz w:val="20"/>
          <w:szCs w:val="20"/>
          <w:lang w:val="fr-BE"/>
        </w:rPr>
      </w:pPr>
    </w:p>
    <w:p w14:paraId="6F22B6DF" w14:textId="77777777" w:rsidR="003E4A15" w:rsidRPr="003E4A15" w:rsidRDefault="003E4A15" w:rsidP="2A406492">
      <w:pPr>
        <w:rPr>
          <w:rFonts w:ascii="Calibri" w:hAnsi="Calibri" w:cs="Calibri"/>
          <w:b/>
          <w:bCs/>
          <w:i/>
          <w:iCs/>
          <w:sz w:val="20"/>
          <w:szCs w:val="20"/>
          <w:lang w:val="fr-BE"/>
        </w:rPr>
      </w:pPr>
    </w:p>
    <w:p w14:paraId="41053E34" w14:textId="77777777" w:rsidR="00E84C90" w:rsidRPr="00CD64AB" w:rsidRDefault="003E4A15" w:rsidP="2A406492">
      <w:pPr>
        <w:pStyle w:val="ListParagraph"/>
        <w:numPr>
          <w:ilvl w:val="0"/>
          <w:numId w:val="5"/>
        </w:numPr>
        <w:contextualSpacing w:val="0"/>
        <w:rPr>
          <w:rFonts w:ascii="Calibri" w:hAnsi="Calibri" w:cs="Calibri"/>
          <w:i/>
          <w:iCs/>
          <w:lang w:val="fr-BE"/>
        </w:rPr>
      </w:pPr>
      <w:r w:rsidRPr="2A406492">
        <w:rPr>
          <w:rFonts w:ascii="Calibri" w:hAnsi="Calibri" w:cs="Calibri"/>
          <w:b/>
          <w:bCs/>
          <w:i/>
          <w:iCs/>
          <w:lang w:val="fr-BE"/>
        </w:rPr>
        <w:t>Proposition des conditions d’intervention</w:t>
      </w:r>
    </w:p>
    <w:p w14:paraId="30F3ADA4" w14:textId="77777777" w:rsidR="00E84C90" w:rsidRPr="00E84C90" w:rsidRDefault="00E84C90" w:rsidP="00745332">
      <w:pPr>
        <w:pStyle w:val="ListParagraph"/>
        <w:ind w:left="360"/>
        <w:contextualSpacing w:val="0"/>
        <w:rPr>
          <w:rFonts w:ascii="Calibri" w:hAnsi="Calibri" w:cs="Calibri"/>
          <w:sz w:val="20"/>
          <w:szCs w:val="20"/>
          <w:lang w:val="fr-BE"/>
        </w:rPr>
      </w:pPr>
    </w:p>
    <w:p w14:paraId="18BBE1DB" w14:textId="77777777" w:rsidR="00E84C90" w:rsidRDefault="003E4A15" w:rsidP="00745332">
      <w:pPr>
        <w:rPr>
          <w:rFonts w:ascii="Calibri" w:hAnsi="Calibri" w:cs="Calibri"/>
          <w:sz w:val="20"/>
          <w:szCs w:val="20"/>
          <w:lang w:val="fr-BE"/>
        </w:rPr>
      </w:pPr>
      <w:r w:rsidRPr="2A406492">
        <w:rPr>
          <w:rFonts w:ascii="Calibri" w:hAnsi="Calibri" w:cs="Calibri"/>
          <w:sz w:val="20"/>
          <w:szCs w:val="20"/>
          <w:lang w:val="fr-BE"/>
        </w:rPr>
        <w:t>Le demandeur doit fournir les informations suivantes :</w:t>
      </w:r>
    </w:p>
    <w:p w14:paraId="78A4F2BE" w14:textId="75FE480B" w:rsidR="00E84C90" w:rsidRPr="00E84C90" w:rsidRDefault="00E84C90" w:rsidP="2A406492">
      <w:pPr>
        <w:rPr>
          <w:rFonts w:ascii="Calibri" w:hAnsi="Calibri"/>
          <w:sz w:val="20"/>
          <w:szCs w:val="20"/>
          <w:lang w:val="fr-BE"/>
        </w:rPr>
      </w:pPr>
    </w:p>
    <w:p w14:paraId="44D314FC" w14:textId="52B2420B" w:rsidR="00824FBD" w:rsidRPr="0091366F" w:rsidRDefault="00E84C90" w:rsidP="2A406492">
      <w:pPr>
        <w:pStyle w:val="ListParagraph"/>
        <w:numPr>
          <w:ilvl w:val="0"/>
          <w:numId w:val="25"/>
        </w:numPr>
        <w:jc w:val="both"/>
        <w:rPr>
          <w:rFonts w:ascii="Calibri" w:hAnsi="Calibri"/>
          <w:sz w:val="20"/>
          <w:szCs w:val="20"/>
          <w:lang w:val="fr-BE"/>
        </w:rPr>
      </w:pPr>
      <w:r w:rsidRPr="2A406492">
        <w:rPr>
          <w:rFonts w:ascii="Calibri" w:hAnsi="Calibri"/>
          <w:sz w:val="20"/>
          <w:szCs w:val="20"/>
          <w:lang w:val="fr-BE"/>
        </w:rPr>
        <w:t>Définir le groupe de bénéficiaires concernés</w:t>
      </w:r>
      <w:r w:rsidR="0091366F" w:rsidRPr="2A406492">
        <w:rPr>
          <w:rFonts w:ascii="Calibri" w:hAnsi="Calibri"/>
          <w:sz w:val="20"/>
          <w:szCs w:val="20"/>
          <w:lang w:val="fr-BE"/>
        </w:rPr>
        <w:t>, en précisant les éventuelles restrictions par rapport au groupe défini dans le cadre du programme CUP/MNP</w:t>
      </w:r>
      <w:r w:rsidR="005848C7" w:rsidRPr="2A406492">
        <w:rPr>
          <w:rFonts w:ascii="Calibri" w:hAnsi="Calibri"/>
          <w:sz w:val="20"/>
          <w:szCs w:val="20"/>
          <w:lang w:val="fr-BE"/>
        </w:rPr>
        <w:t xml:space="preserve"> </w:t>
      </w:r>
    </w:p>
    <w:p w14:paraId="5B194D8E" w14:textId="77777777" w:rsidR="00824FBD" w:rsidRPr="00824FBD" w:rsidRDefault="00E84C90" w:rsidP="2A406492">
      <w:pPr>
        <w:pStyle w:val="ListParagraph"/>
        <w:numPr>
          <w:ilvl w:val="0"/>
          <w:numId w:val="25"/>
        </w:numPr>
        <w:jc w:val="both"/>
        <w:rPr>
          <w:rFonts w:ascii="Calibri" w:hAnsi="Calibri"/>
          <w:sz w:val="20"/>
          <w:szCs w:val="20"/>
          <w:lang w:val="fr-BE"/>
        </w:rPr>
      </w:pPr>
      <w:r w:rsidRPr="2A406492">
        <w:rPr>
          <w:rFonts w:ascii="Calibri" w:hAnsi="Calibri"/>
          <w:sz w:val="20"/>
          <w:szCs w:val="20"/>
          <w:lang w:val="fr-BE"/>
        </w:rPr>
        <w:t xml:space="preserve">Justifier </w:t>
      </w:r>
      <w:r w:rsidR="00DB435E" w:rsidRPr="2A406492">
        <w:rPr>
          <w:rFonts w:ascii="Calibri" w:hAnsi="Calibri"/>
          <w:sz w:val="20"/>
          <w:szCs w:val="20"/>
          <w:lang w:val="fr-BE"/>
        </w:rPr>
        <w:t xml:space="preserve">le </w:t>
      </w:r>
      <w:r w:rsidR="00DB435E" w:rsidRPr="2A406492">
        <w:rPr>
          <w:rFonts w:ascii="Calibri" w:hAnsi="Calibri" w:cs="Calibri"/>
          <w:sz w:val="20"/>
          <w:szCs w:val="20"/>
          <w:lang w:val="fr-BE"/>
        </w:rPr>
        <w:t>groupe de bénéficiaires concerné</w:t>
      </w:r>
    </w:p>
    <w:p w14:paraId="30267E05" w14:textId="77777777" w:rsidR="00824FBD" w:rsidRPr="00824FBD" w:rsidRDefault="00DB435E" w:rsidP="2A406492">
      <w:pPr>
        <w:pStyle w:val="ListParagraph"/>
        <w:numPr>
          <w:ilvl w:val="0"/>
          <w:numId w:val="25"/>
        </w:numPr>
        <w:jc w:val="both"/>
        <w:rPr>
          <w:rFonts w:ascii="Calibri" w:hAnsi="Calibri"/>
          <w:sz w:val="20"/>
          <w:szCs w:val="20"/>
          <w:lang w:val="fr-BE"/>
        </w:rPr>
      </w:pPr>
      <w:r w:rsidRPr="2A406492">
        <w:rPr>
          <w:rFonts w:ascii="Calibri" w:hAnsi="Calibri" w:cs="Calibri"/>
          <w:sz w:val="20"/>
          <w:szCs w:val="20"/>
          <w:lang w:val="fr-BE"/>
        </w:rPr>
        <w:t>Estimation du nombre de bénéficiaires éligibles pour l’indication concernée</w:t>
      </w:r>
    </w:p>
    <w:p w14:paraId="21D84370" w14:textId="6DD265B2" w:rsidR="00824FBD" w:rsidRPr="00824FBD" w:rsidRDefault="00E84C90" w:rsidP="2A406492">
      <w:pPr>
        <w:pStyle w:val="ListParagraph"/>
        <w:numPr>
          <w:ilvl w:val="0"/>
          <w:numId w:val="25"/>
        </w:numPr>
        <w:contextualSpacing w:val="0"/>
        <w:jc w:val="both"/>
        <w:rPr>
          <w:rFonts w:ascii="Calibri" w:hAnsi="Calibri"/>
          <w:sz w:val="20"/>
          <w:szCs w:val="20"/>
          <w:lang w:val="fr-BE"/>
        </w:rPr>
      </w:pPr>
      <w:r w:rsidRPr="2A406492">
        <w:rPr>
          <w:rFonts w:ascii="Calibri" w:hAnsi="Calibri"/>
          <w:sz w:val="20"/>
          <w:szCs w:val="20"/>
          <w:lang w:val="fr-BE"/>
        </w:rPr>
        <w:t>Valeur thérapeutique (description des variables d’efficacité, qualité de vie et effets indésirables)</w:t>
      </w:r>
      <w:r w:rsidR="0091366F" w:rsidRPr="2A406492">
        <w:rPr>
          <w:rFonts w:ascii="Calibri" w:hAnsi="Calibri"/>
          <w:sz w:val="20"/>
          <w:szCs w:val="20"/>
          <w:lang w:val="fr-BE"/>
        </w:rPr>
        <w:t xml:space="preserve">, </w:t>
      </w:r>
      <w:r w:rsidR="0091366F" w:rsidRPr="2A406492">
        <w:rPr>
          <w:rFonts w:ascii="Calibri" w:eastAsia="Calibri" w:hAnsi="Calibri" w:cs="Calibri"/>
          <w:sz w:val="20"/>
          <w:szCs w:val="20"/>
          <w:lang w:val="fr-BE"/>
        </w:rPr>
        <w:t>accompagnée d’éléments démontrant que le médicament répond à un besoin médical non rencontré</w:t>
      </w:r>
    </w:p>
    <w:p w14:paraId="1F7405DB" w14:textId="77777777" w:rsidR="00824FBD" w:rsidRDefault="00E84C90" w:rsidP="2A406492">
      <w:pPr>
        <w:pStyle w:val="ListParagraph"/>
        <w:numPr>
          <w:ilvl w:val="0"/>
          <w:numId w:val="25"/>
        </w:numPr>
        <w:contextualSpacing w:val="0"/>
        <w:jc w:val="both"/>
        <w:rPr>
          <w:rFonts w:ascii="Calibri" w:hAnsi="Calibri"/>
          <w:sz w:val="20"/>
          <w:szCs w:val="20"/>
          <w:lang w:val="nl-BE"/>
        </w:rPr>
      </w:pPr>
      <w:r w:rsidRPr="2A406492">
        <w:rPr>
          <w:rFonts w:ascii="Calibri" w:hAnsi="Calibri"/>
          <w:sz w:val="20"/>
          <w:szCs w:val="20"/>
          <w:lang w:val="nl-BE"/>
        </w:rPr>
        <w:t>Description des conditions d’intervention</w:t>
      </w:r>
    </w:p>
    <w:p w14:paraId="16FCCDE6" w14:textId="25B1576F" w:rsidR="00E84C90" w:rsidRPr="00824FBD" w:rsidRDefault="00E84C90" w:rsidP="00824FBD">
      <w:pPr>
        <w:pStyle w:val="ListParagraph"/>
        <w:numPr>
          <w:ilvl w:val="0"/>
          <w:numId w:val="25"/>
        </w:numPr>
        <w:contextualSpacing w:val="0"/>
        <w:jc w:val="both"/>
        <w:rPr>
          <w:rFonts w:ascii="Calibri" w:hAnsi="Calibri"/>
          <w:sz w:val="20"/>
          <w:lang w:val="nl-BE"/>
        </w:rPr>
      </w:pPr>
      <w:proofErr w:type="spellStart"/>
      <w:r w:rsidRPr="00824FBD">
        <w:rPr>
          <w:rFonts w:ascii="Calibri" w:hAnsi="Calibri"/>
          <w:sz w:val="20"/>
          <w:lang w:val="nl-BE"/>
        </w:rPr>
        <w:t>Estimation</w:t>
      </w:r>
      <w:proofErr w:type="spellEnd"/>
      <w:r w:rsidRPr="00824FBD">
        <w:rPr>
          <w:rFonts w:ascii="Calibri" w:hAnsi="Calibri"/>
          <w:sz w:val="20"/>
          <w:lang w:val="nl-BE"/>
        </w:rPr>
        <w:t xml:space="preserve"> de </w:t>
      </w:r>
      <w:proofErr w:type="spellStart"/>
      <w:r w:rsidRPr="00824FBD">
        <w:rPr>
          <w:rFonts w:ascii="Calibri" w:hAnsi="Calibri"/>
          <w:sz w:val="20"/>
          <w:lang w:val="nl-BE"/>
        </w:rPr>
        <w:t>l’impact</w:t>
      </w:r>
      <w:proofErr w:type="spellEnd"/>
      <w:r w:rsidRPr="00824FBD">
        <w:rPr>
          <w:rFonts w:ascii="Calibri" w:hAnsi="Calibri"/>
          <w:sz w:val="20"/>
          <w:lang w:val="nl-BE"/>
        </w:rPr>
        <w:t xml:space="preserve"> </w:t>
      </w:r>
      <w:proofErr w:type="spellStart"/>
      <w:r w:rsidRPr="00824FBD">
        <w:rPr>
          <w:rFonts w:ascii="Calibri" w:hAnsi="Calibri"/>
          <w:sz w:val="20"/>
          <w:lang w:val="nl-BE"/>
        </w:rPr>
        <w:t>budgétaire</w:t>
      </w:r>
      <w:proofErr w:type="spellEnd"/>
    </w:p>
    <w:p w14:paraId="52073643" w14:textId="77777777" w:rsidR="00E84C90" w:rsidRDefault="00E84C90" w:rsidP="00745332">
      <w:pPr>
        <w:rPr>
          <w:rFonts w:ascii="Calibri" w:hAnsi="Calibri" w:cs="Calibri"/>
          <w:sz w:val="20"/>
          <w:szCs w:val="20"/>
          <w:lang w:val="nl-BE"/>
        </w:rPr>
      </w:pPr>
    </w:p>
    <w:p w14:paraId="276F9632" w14:textId="77777777" w:rsidR="00E84C90" w:rsidRPr="00CD64AB" w:rsidRDefault="003E4A15" w:rsidP="00745332">
      <w:pPr>
        <w:pStyle w:val="ListParagraph"/>
        <w:numPr>
          <w:ilvl w:val="0"/>
          <w:numId w:val="5"/>
        </w:numPr>
        <w:contextualSpacing w:val="0"/>
        <w:rPr>
          <w:rFonts w:ascii="Calibri" w:hAnsi="Calibri" w:cs="Calibri"/>
          <w:i/>
          <w:iCs/>
          <w:lang w:val="fr-BE"/>
        </w:rPr>
      </w:pPr>
      <w:r w:rsidRPr="00CD64AB">
        <w:rPr>
          <w:rFonts w:ascii="Calibri" w:hAnsi="Calibri" w:cs="Calibri"/>
          <w:b/>
          <w:bCs/>
          <w:i/>
          <w:iCs/>
          <w:lang w:val="fr-BE"/>
        </w:rPr>
        <w:t>Collecte des données</w:t>
      </w:r>
    </w:p>
    <w:p w14:paraId="7EE1C0F2" w14:textId="77777777" w:rsidR="00E84C90" w:rsidRPr="00E84C90" w:rsidRDefault="00E84C90" w:rsidP="00745332">
      <w:pPr>
        <w:pStyle w:val="ListParagraph"/>
        <w:contextualSpacing w:val="0"/>
        <w:rPr>
          <w:rFonts w:ascii="Calibri" w:hAnsi="Calibri" w:cs="Calibri"/>
          <w:sz w:val="20"/>
          <w:szCs w:val="20"/>
          <w:lang w:val="fr-BE"/>
        </w:rPr>
      </w:pPr>
    </w:p>
    <w:p w14:paraId="22ED51E3" w14:textId="0AAD7A30" w:rsidR="003E4A15" w:rsidRPr="00824FBD" w:rsidRDefault="003E4A15" w:rsidP="00824FBD">
      <w:pPr>
        <w:jc w:val="both"/>
        <w:rPr>
          <w:rFonts w:ascii="Calibri" w:hAnsi="Calibri" w:cs="Calibri"/>
          <w:sz w:val="20"/>
          <w:szCs w:val="20"/>
          <w:lang w:val="fr-BE"/>
        </w:rPr>
      </w:pPr>
      <w:r w:rsidRPr="6206FEE5">
        <w:rPr>
          <w:rFonts w:ascii="Calibri" w:hAnsi="Calibri" w:cs="Calibri"/>
          <w:sz w:val="20"/>
          <w:szCs w:val="20"/>
          <w:lang w:val="fr-BE"/>
        </w:rPr>
        <w:t xml:space="preserve">Les données sont enregistrées conformément au protocole d’utilisation et de suivi thérapeutique visé à l’art. </w:t>
      </w:r>
      <w:r w:rsidRPr="0077636B">
        <w:rPr>
          <w:rFonts w:ascii="Calibri" w:hAnsi="Calibri" w:cs="Calibri"/>
          <w:sz w:val="20"/>
          <w:szCs w:val="20"/>
          <w:lang w:val="fr-BE"/>
        </w:rPr>
        <w:t>Xx, §1 de la</w:t>
      </w:r>
      <w:r w:rsidRPr="6206FEE5">
        <w:rPr>
          <w:rFonts w:ascii="Calibri" w:hAnsi="Calibri" w:cs="Calibri"/>
          <w:sz w:val="20"/>
          <w:szCs w:val="20"/>
          <w:lang w:val="fr-BE"/>
        </w:rPr>
        <w:t xml:space="preserve"> Loi coordonnée sur l’assurance soins de santé du 14 juillet 1994 </w:t>
      </w:r>
      <w:r w:rsidRPr="6206FEE5">
        <w:rPr>
          <w:rFonts w:ascii="Calibri" w:hAnsi="Calibri" w:cs="Calibri"/>
          <w:sz w:val="20"/>
          <w:szCs w:val="20"/>
          <w:highlight w:val="yellow"/>
          <w:lang w:val="fr-BE"/>
        </w:rPr>
        <w:t xml:space="preserve">(disponible sur le site </w:t>
      </w:r>
      <w:r w:rsidR="00DB435E" w:rsidRPr="6206FEE5">
        <w:rPr>
          <w:rFonts w:ascii="Calibri" w:hAnsi="Calibri" w:cs="Calibri"/>
          <w:sz w:val="20"/>
          <w:szCs w:val="20"/>
          <w:highlight w:val="yellow"/>
          <w:lang w:val="fr-BE"/>
        </w:rPr>
        <w:t xml:space="preserve">de </w:t>
      </w:r>
      <w:r w:rsidR="00A5271A" w:rsidRPr="6206FEE5">
        <w:rPr>
          <w:rFonts w:ascii="Calibri" w:hAnsi="Calibri" w:cs="Calibri"/>
          <w:sz w:val="20"/>
          <w:szCs w:val="20"/>
          <w:highlight w:val="yellow"/>
          <w:lang w:val="fr-BE"/>
        </w:rPr>
        <w:t>l’INAMI</w:t>
      </w:r>
      <w:r w:rsidR="0091366F" w:rsidRPr="6206FEE5">
        <w:rPr>
          <w:rFonts w:ascii="Calibri" w:hAnsi="Calibri" w:cs="Calibri"/>
          <w:sz w:val="20"/>
          <w:szCs w:val="20"/>
          <w:highlight w:val="yellow"/>
          <w:lang w:val="fr-BE"/>
        </w:rPr>
        <w:t> </w:t>
      </w:r>
      <w:proofErr w:type="gramStart"/>
      <w:r w:rsidR="0091366F" w:rsidRPr="6206FEE5">
        <w:rPr>
          <w:rFonts w:ascii="Calibri" w:hAnsi="Calibri" w:cs="Calibri"/>
          <w:sz w:val="20"/>
          <w:szCs w:val="20"/>
          <w:highlight w:val="yellow"/>
          <w:lang w:val="fr-BE"/>
        </w:rPr>
        <w:t xml:space="preserve">: </w:t>
      </w:r>
      <w:r w:rsidRPr="6206FEE5">
        <w:rPr>
          <w:rFonts w:ascii="Calibri" w:hAnsi="Calibri" w:cs="Calibri"/>
          <w:sz w:val="20"/>
          <w:szCs w:val="20"/>
          <w:highlight w:val="yellow"/>
          <w:lang w:val="fr-BE"/>
        </w:rPr>
        <w:t>)</w:t>
      </w:r>
      <w:proofErr w:type="gramEnd"/>
    </w:p>
    <w:p w14:paraId="056B4936" w14:textId="66EBA84F" w:rsidR="003E4A15" w:rsidRPr="00745332" w:rsidRDefault="003E4A15" w:rsidP="00745332">
      <w:pPr>
        <w:numPr>
          <w:ilvl w:val="0"/>
          <w:numId w:val="14"/>
        </w:numPr>
        <w:tabs>
          <w:tab w:val="num" w:pos="1843"/>
        </w:tabs>
        <w:jc w:val="both"/>
        <w:rPr>
          <w:rFonts w:ascii="Calibri" w:hAnsi="Calibri"/>
          <w:sz w:val="20"/>
          <w:lang w:val="fr-BE"/>
        </w:rPr>
      </w:pPr>
      <w:r w:rsidRPr="00745332">
        <w:rPr>
          <w:rFonts w:ascii="Calibri" w:hAnsi="Calibri"/>
          <w:sz w:val="20"/>
          <w:lang w:val="fr-BE"/>
        </w:rPr>
        <w:t>Proposition de calendrier de suivi pour la collecte des données</w:t>
      </w:r>
      <w:r w:rsidR="00824FBD">
        <w:rPr>
          <w:rFonts w:ascii="Calibri" w:hAnsi="Calibri"/>
          <w:sz w:val="20"/>
          <w:lang w:val="fr-BE"/>
        </w:rPr>
        <w:t xml:space="preserve"> </w:t>
      </w:r>
      <w:r w:rsidR="00824FBD" w:rsidRPr="00824FBD">
        <w:rPr>
          <w:rFonts w:ascii="Calibri" w:hAnsi="Calibri"/>
          <w:b/>
          <w:bCs/>
          <w:sz w:val="20"/>
          <w:lang w:val="fr-BE"/>
        </w:rPr>
        <w:t>(fiche 1)</w:t>
      </w:r>
    </w:p>
    <w:p w14:paraId="7FE444A0" w14:textId="5473359E" w:rsidR="003E4A15" w:rsidRPr="00745332" w:rsidRDefault="003E4A15" w:rsidP="00745332">
      <w:pPr>
        <w:numPr>
          <w:ilvl w:val="0"/>
          <w:numId w:val="14"/>
        </w:numPr>
        <w:jc w:val="both"/>
        <w:rPr>
          <w:rFonts w:ascii="Calibri" w:hAnsi="Calibri"/>
          <w:sz w:val="20"/>
          <w:lang w:val="fr-BE"/>
        </w:rPr>
      </w:pPr>
      <w:r w:rsidRPr="00745332">
        <w:rPr>
          <w:rFonts w:ascii="Calibri" w:hAnsi="Calibri"/>
          <w:sz w:val="20"/>
          <w:lang w:val="fr-BE"/>
        </w:rPr>
        <w:t>Proposition de protocole d’accès au traitement</w:t>
      </w:r>
      <w:r w:rsidR="00824FBD">
        <w:rPr>
          <w:rFonts w:ascii="Calibri" w:hAnsi="Calibri"/>
          <w:sz w:val="20"/>
          <w:lang w:val="fr-BE"/>
        </w:rPr>
        <w:t xml:space="preserve"> </w:t>
      </w:r>
      <w:r w:rsidR="00824FBD" w:rsidRPr="00824FBD">
        <w:rPr>
          <w:rFonts w:ascii="Calibri" w:hAnsi="Calibri"/>
          <w:b/>
          <w:bCs/>
          <w:sz w:val="20"/>
          <w:lang w:val="fr-BE"/>
        </w:rPr>
        <w:t>(fiche 2)</w:t>
      </w:r>
    </w:p>
    <w:p w14:paraId="7329AE2D" w14:textId="1896E381" w:rsidR="003E4A15" w:rsidRPr="00745332" w:rsidRDefault="003E4A15" w:rsidP="00745332">
      <w:pPr>
        <w:numPr>
          <w:ilvl w:val="0"/>
          <w:numId w:val="14"/>
        </w:numPr>
        <w:jc w:val="both"/>
        <w:rPr>
          <w:rFonts w:ascii="Calibri" w:hAnsi="Calibri"/>
          <w:sz w:val="20"/>
          <w:lang w:val="fr-BE"/>
        </w:rPr>
      </w:pPr>
      <w:r w:rsidRPr="00745332">
        <w:rPr>
          <w:rFonts w:ascii="Calibri" w:hAnsi="Calibri"/>
          <w:sz w:val="20"/>
          <w:lang w:val="fr-BE"/>
        </w:rPr>
        <w:t>Proposition de protocole de début de traitement</w:t>
      </w:r>
      <w:r w:rsidR="00824FBD">
        <w:rPr>
          <w:rFonts w:ascii="Calibri" w:hAnsi="Calibri"/>
          <w:sz w:val="20"/>
          <w:lang w:val="fr-BE"/>
        </w:rPr>
        <w:t xml:space="preserve"> </w:t>
      </w:r>
      <w:r w:rsidR="00824FBD" w:rsidRPr="00824FBD">
        <w:rPr>
          <w:rFonts w:ascii="Calibri" w:hAnsi="Calibri"/>
          <w:b/>
          <w:bCs/>
          <w:sz w:val="20"/>
          <w:lang w:val="fr-BE"/>
        </w:rPr>
        <w:t>(fiche 3)</w:t>
      </w:r>
    </w:p>
    <w:p w14:paraId="210BDE86" w14:textId="5238D48A" w:rsidR="003E4A15" w:rsidRPr="00745332" w:rsidRDefault="003E4A15" w:rsidP="00745332">
      <w:pPr>
        <w:numPr>
          <w:ilvl w:val="0"/>
          <w:numId w:val="14"/>
        </w:numPr>
        <w:tabs>
          <w:tab w:val="num" w:pos="1276"/>
        </w:tabs>
        <w:jc w:val="both"/>
        <w:rPr>
          <w:rFonts w:ascii="Calibri" w:hAnsi="Calibri"/>
          <w:sz w:val="20"/>
          <w:lang w:val="fr-BE"/>
        </w:rPr>
      </w:pPr>
      <w:r w:rsidRPr="00745332">
        <w:rPr>
          <w:rFonts w:ascii="Calibri" w:hAnsi="Calibri"/>
          <w:sz w:val="20"/>
          <w:lang w:val="fr-BE"/>
        </w:rPr>
        <w:t>Proposition de protocole de suivi du traitement</w:t>
      </w:r>
      <w:r w:rsidR="00824FBD">
        <w:rPr>
          <w:rFonts w:ascii="Calibri" w:hAnsi="Calibri"/>
          <w:sz w:val="20"/>
          <w:lang w:val="fr-BE"/>
        </w:rPr>
        <w:t xml:space="preserve"> </w:t>
      </w:r>
      <w:r w:rsidR="00824FBD" w:rsidRPr="00824FBD">
        <w:rPr>
          <w:rFonts w:ascii="Calibri" w:hAnsi="Calibri"/>
          <w:b/>
          <w:bCs/>
          <w:sz w:val="20"/>
          <w:lang w:val="fr-BE"/>
        </w:rPr>
        <w:t>(fiche 4)</w:t>
      </w:r>
    </w:p>
    <w:p w14:paraId="5F647CFD" w14:textId="19E29484" w:rsidR="003E4A15" w:rsidRPr="00745332" w:rsidRDefault="003E4A15" w:rsidP="00745332">
      <w:pPr>
        <w:numPr>
          <w:ilvl w:val="0"/>
          <w:numId w:val="14"/>
        </w:numPr>
        <w:jc w:val="both"/>
        <w:rPr>
          <w:rFonts w:ascii="Calibri" w:hAnsi="Calibri"/>
          <w:sz w:val="20"/>
          <w:lang w:val="fr-BE"/>
        </w:rPr>
      </w:pPr>
      <w:r w:rsidRPr="00745332">
        <w:rPr>
          <w:rFonts w:ascii="Calibri" w:hAnsi="Calibri"/>
          <w:sz w:val="20"/>
          <w:lang w:val="fr-BE"/>
        </w:rPr>
        <w:t>Proposition de protocole d’arrêt définitif du traitement</w:t>
      </w:r>
      <w:r w:rsidR="00824FBD">
        <w:rPr>
          <w:rFonts w:ascii="Calibri" w:hAnsi="Calibri"/>
          <w:sz w:val="20"/>
          <w:lang w:val="fr-BE"/>
        </w:rPr>
        <w:t xml:space="preserve"> </w:t>
      </w:r>
      <w:r w:rsidR="00824FBD" w:rsidRPr="00824FBD">
        <w:rPr>
          <w:rFonts w:ascii="Calibri" w:hAnsi="Calibri"/>
          <w:b/>
          <w:bCs/>
          <w:sz w:val="20"/>
          <w:lang w:val="fr-BE"/>
        </w:rPr>
        <w:t>(fiche 5)</w:t>
      </w:r>
    </w:p>
    <w:p w14:paraId="5424B9A9" w14:textId="77777777" w:rsidR="00DB435E" w:rsidRPr="003E4A15" w:rsidRDefault="00DB435E" w:rsidP="00745332">
      <w:pPr>
        <w:rPr>
          <w:rFonts w:ascii="Calibri" w:hAnsi="Calibri" w:cs="Calibri"/>
          <w:sz w:val="20"/>
          <w:szCs w:val="20"/>
          <w:lang w:val="fr-BE"/>
        </w:rPr>
      </w:pPr>
    </w:p>
    <w:p w14:paraId="6E805C88" w14:textId="77777777" w:rsidR="00E84C90" w:rsidRPr="00CD64AB" w:rsidRDefault="00E84C90" w:rsidP="00745332">
      <w:pPr>
        <w:rPr>
          <w:rFonts w:ascii="Calibri" w:hAnsi="Calibri" w:cs="Calibri"/>
          <w:b/>
          <w:bCs/>
          <w:i/>
          <w:iCs/>
          <w:lang w:val="fr-BE"/>
        </w:rPr>
      </w:pPr>
      <w:r w:rsidRPr="00CD64AB">
        <w:rPr>
          <w:rFonts w:ascii="Calibri" w:hAnsi="Calibri" w:cs="Calibri"/>
          <w:b/>
          <w:bCs/>
          <w:i/>
          <w:iCs/>
          <w:lang w:val="fr-BE"/>
        </w:rPr>
        <w:t>ANNEXE</w:t>
      </w:r>
    </w:p>
    <w:p w14:paraId="4D6AC4FE" w14:textId="77777777" w:rsidR="00E84C90" w:rsidRPr="00E84C90" w:rsidRDefault="00E84C90" w:rsidP="00745332">
      <w:pPr>
        <w:rPr>
          <w:rFonts w:ascii="Calibri" w:hAnsi="Calibri" w:cs="Calibri"/>
          <w:sz w:val="20"/>
          <w:szCs w:val="20"/>
          <w:lang w:val="fr-BE"/>
        </w:rPr>
      </w:pPr>
      <w:r w:rsidRPr="00E84C90">
        <w:rPr>
          <w:rFonts w:ascii="Calibri" w:hAnsi="Calibri" w:cs="Calibri"/>
          <w:sz w:val="20"/>
          <w:szCs w:val="20"/>
          <w:lang w:val="fr-BE"/>
        </w:rPr>
        <w:t>L’annexe doit contenir une copie complète du matériel de référence mentionné dans les points ci-dessus.</w:t>
      </w:r>
    </w:p>
    <w:p w14:paraId="53A6680E" w14:textId="2AFC2CAD" w:rsidR="008F4666" w:rsidRPr="003E4A15" w:rsidRDefault="008F4666" w:rsidP="00745332">
      <w:pPr>
        <w:rPr>
          <w:rFonts w:ascii="Calibri" w:hAnsi="Calibri" w:cs="Calibri"/>
          <w:sz w:val="20"/>
          <w:szCs w:val="20"/>
          <w:lang w:val="fr-BE"/>
        </w:rPr>
      </w:pPr>
    </w:p>
    <w:sectPr w:rsidR="008F4666" w:rsidRPr="003E4A15">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D028E" w14:textId="77777777" w:rsidR="003E4A15" w:rsidRDefault="003E4A15" w:rsidP="003E4A15">
      <w:r>
        <w:separator/>
      </w:r>
    </w:p>
  </w:endnote>
  <w:endnote w:type="continuationSeparator" w:id="0">
    <w:p w14:paraId="5BA396D9" w14:textId="77777777" w:rsidR="003E4A15" w:rsidRDefault="003E4A15" w:rsidP="003E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907"/>
      <w:gridCol w:w="7733"/>
    </w:tblGrid>
    <w:tr w:rsidR="00E84C90" w:rsidRPr="0077636B" w14:paraId="2680720A" w14:textId="77777777" w:rsidTr="7C5B71B3">
      <w:tc>
        <w:tcPr>
          <w:tcW w:w="907" w:type="dxa"/>
        </w:tcPr>
        <w:p w14:paraId="24C79480" w14:textId="77777777" w:rsidR="00E84C90" w:rsidRPr="000440E0" w:rsidRDefault="00E84C90" w:rsidP="00E84C90">
          <w:pPr>
            <w:pStyle w:val="Footer"/>
            <w:jc w:val="right"/>
            <w:rPr>
              <w:b/>
              <w:bCs/>
              <w:color w:val="4F81BD"/>
              <w:sz w:val="16"/>
              <w:szCs w:val="16"/>
            </w:rPr>
          </w:pPr>
          <w:r w:rsidRPr="000440E0">
            <w:rPr>
              <w:sz w:val="16"/>
              <w:szCs w:val="16"/>
            </w:rPr>
            <w:fldChar w:fldCharType="begin"/>
          </w:r>
          <w:r w:rsidRPr="000440E0">
            <w:rPr>
              <w:sz w:val="16"/>
              <w:szCs w:val="16"/>
            </w:rPr>
            <w:instrText xml:space="preserve"> PAGE   \* MERGEFORMAT </w:instrText>
          </w:r>
          <w:r w:rsidRPr="000440E0">
            <w:rPr>
              <w:sz w:val="16"/>
              <w:szCs w:val="16"/>
            </w:rPr>
            <w:fldChar w:fldCharType="separate"/>
          </w:r>
          <w:r>
            <w:rPr>
              <w:sz w:val="16"/>
              <w:szCs w:val="16"/>
            </w:rPr>
            <w:t>1</w:t>
          </w:r>
          <w:r w:rsidRPr="000440E0">
            <w:rPr>
              <w:b/>
              <w:bCs/>
              <w:noProof/>
              <w:color w:val="4F81BD"/>
              <w:sz w:val="16"/>
              <w:szCs w:val="16"/>
            </w:rPr>
            <w:fldChar w:fldCharType="end"/>
          </w:r>
        </w:p>
      </w:tc>
      <w:tc>
        <w:tcPr>
          <w:tcW w:w="7733" w:type="dxa"/>
        </w:tcPr>
        <w:p w14:paraId="1798B4F7" w14:textId="24635E84" w:rsidR="00E84C90" w:rsidRPr="00745332" w:rsidRDefault="7C5B71B3" w:rsidP="7C5B71B3">
          <w:pPr>
            <w:pStyle w:val="Footer"/>
            <w:ind w:right="360"/>
            <w:rPr>
              <w:sz w:val="16"/>
              <w:szCs w:val="16"/>
              <w:lang w:val="fr-BE"/>
            </w:rPr>
          </w:pPr>
          <w:r w:rsidRPr="7C5B71B3">
            <w:rPr>
              <w:sz w:val="16"/>
              <w:szCs w:val="16"/>
              <w:lang w:val="fr-BE"/>
            </w:rPr>
            <w:t>Guidelines CAIT - Demande de décisions-cadre - Accès précoce FR – v1.1</w:t>
          </w:r>
        </w:p>
        <w:p w14:paraId="58631FA0" w14:textId="77777777" w:rsidR="00E84C90" w:rsidRPr="000440E0" w:rsidRDefault="00E84C90" w:rsidP="00E84C90">
          <w:pPr>
            <w:rPr>
              <w:sz w:val="16"/>
              <w:szCs w:val="16"/>
              <w:lang w:val="fr-BE"/>
            </w:rPr>
          </w:pPr>
          <w:r w:rsidRPr="000440E0">
            <w:rPr>
              <w:sz w:val="16"/>
              <w:szCs w:val="16"/>
              <w:lang w:val="fr-BE"/>
            </w:rPr>
            <w:t>INAMI – Service des Soins de Santé – Direction Politique Pharmaceutique</w:t>
          </w:r>
        </w:p>
        <w:p w14:paraId="6DC12A4B" w14:textId="77777777" w:rsidR="00E84C90" w:rsidRPr="00E84C90" w:rsidRDefault="00E84C90" w:rsidP="00E84C90">
          <w:pPr>
            <w:pStyle w:val="Footer"/>
            <w:rPr>
              <w:sz w:val="16"/>
              <w:szCs w:val="16"/>
              <w:lang w:val="fr-BE"/>
            </w:rPr>
          </w:pPr>
        </w:p>
      </w:tc>
    </w:tr>
  </w:tbl>
  <w:p w14:paraId="64EBA076" w14:textId="77777777" w:rsidR="00E84C90" w:rsidRPr="00E84C90" w:rsidRDefault="00E84C90">
    <w:pP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4CFF9" w14:textId="77777777" w:rsidR="003E4A15" w:rsidRDefault="003E4A15" w:rsidP="003E4A15">
      <w:r>
        <w:separator/>
      </w:r>
    </w:p>
  </w:footnote>
  <w:footnote w:type="continuationSeparator" w:id="0">
    <w:p w14:paraId="144499C6" w14:textId="77777777" w:rsidR="003E4A15" w:rsidRDefault="003E4A15" w:rsidP="003E4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7C5B71B3" w14:paraId="5E0082F2" w14:textId="77777777" w:rsidTr="7C5B71B3">
      <w:trPr>
        <w:trHeight w:val="300"/>
      </w:trPr>
      <w:tc>
        <w:tcPr>
          <w:tcW w:w="2880" w:type="dxa"/>
        </w:tcPr>
        <w:p w14:paraId="17EA767A" w14:textId="6E282CD8" w:rsidR="7C5B71B3" w:rsidRDefault="7C5B71B3" w:rsidP="7C5B71B3">
          <w:pPr>
            <w:pStyle w:val="Header"/>
            <w:ind w:left="-115"/>
          </w:pPr>
        </w:p>
      </w:tc>
      <w:tc>
        <w:tcPr>
          <w:tcW w:w="2880" w:type="dxa"/>
        </w:tcPr>
        <w:p w14:paraId="7FEC0041" w14:textId="109A6AC5" w:rsidR="7C5B71B3" w:rsidRDefault="7C5B71B3" w:rsidP="7C5B71B3">
          <w:pPr>
            <w:pStyle w:val="Header"/>
            <w:jc w:val="center"/>
          </w:pPr>
        </w:p>
      </w:tc>
      <w:tc>
        <w:tcPr>
          <w:tcW w:w="2880" w:type="dxa"/>
        </w:tcPr>
        <w:p w14:paraId="3D8793F9" w14:textId="7EDE531D" w:rsidR="7C5B71B3" w:rsidRDefault="7C5B71B3" w:rsidP="7C5B71B3">
          <w:pPr>
            <w:pStyle w:val="Header"/>
            <w:ind w:right="-115"/>
            <w:jc w:val="right"/>
          </w:pPr>
        </w:p>
      </w:tc>
    </w:tr>
  </w:tbl>
  <w:p w14:paraId="7EA65BCD" w14:textId="723D71E6" w:rsidR="7C5B71B3" w:rsidRDefault="7C5B71B3" w:rsidP="7C5B7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6C6C"/>
    <w:multiLevelType w:val="hybridMultilevel"/>
    <w:tmpl w:val="D01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D70BC"/>
    <w:multiLevelType w:val="hybridMultilevel"/>
    <w:tmpl w:val="6B4A90C4"/>
    <w:lvl w:ilvl="0" w:tplc="5F1E8A34">
      <w:numFmt w:val="bullet"/>
      <w:lvlText w:val=""/>
      <w:lvlJc w:val="left"/>
      <w:pPr>
        <w:ind w:left="720" w:hanging="360"/>
      </w:pPr>
      <w:rPr>
        <w:rFonts w:ascii="Symbol" w:eastAsia="Times New Roman" w:hAnsi="Symbol"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8940F1D"/>
    <w:multiLevelType w:val="multilevel"/>
    <w:tmpl w:val="E506B0B6"/>
    <w:lvl w:ilvl="0">
      <w:start w:val="1"/>
      <w:numFmt w:val="decimal"/>
      <w:lvlText w:val="1.%1"/>
      <w:lvlJc w:val="left"/>
      <w:pPr>
        <w:tabs>
          <w:tab w:val="num" w:pos="360"/>
        </w:tabs>
        <w:ind w:left="360" w:hanging="360"/>
      </w:pPr>
      <w:rPr>
        <w:rFonts w:hint="default"/>
        <w:b w:val="0"/>
        <w:sz w:val="20"/>
      </w:rPr>
    </w:lvl>
    <w:lvl w:ilvl="1">
      <w:start w:val="9"/>
      <w:numFmt w:val="decimal"/>
      <w:lvlText w:val="%1.%2"/>
      <w:lvlJc w:val="left"/>
      <w:pPr>
        <w:tabs>
          <w:tab w:val="num" w:pos="792"/>
        </w:tabs>
        <w:ind w:left="792" w:hanging="720"/>
      </w:pPr>
      <w:rPr>
        <w:rFonts w:hint="default"/>
        <w:sz w:val="20"/>
      </w:rPr>
    </w:lvl>
    <w:lvl w:ilvl="2">
      <w:start w:val="1"/>
      <w:numFmt w:val="decimal"/>
      <w:lvlText w:val="%1.%2.%3"/>
      <w:lvlJc w:val="left"/>
      <w:pPr>
        <w:tabs>
          <w:tab w:val="num" w:pos="864"/>
        </w:tabs>
        <w:ind w:left="864" w:hanging="720"/>
      </w:pPr>
      <w:rPr>
        <w:rFonts w:hint="default"/>
        <w:sz w:val="20"/>
      </w:rPr>
    </w:lvl>
    <w:lvl w:ilvl="3">
      <w:start w:val="1"/>
      <w:numFmt w:val="decimal"/>
      <w:lvlText w:val="%1.%2.%3.%4"/>
      <w:lvlJc w:val="left"/>
      <w:pPr>
        <w:tabs>
          <w:tab w:val="num" w:pos="1296"/>
        </w:tabs>
        <w:ind w:left="1296" w:hanging="1080"/>
      </w:pPr>
      <w:rPr>
        <w:rFonts w:hint="default"/>
        <w:sz w:val="20"/>
      </w:rPr>
    </w:lvl>
    <w:lvl w:ilvl="4">
      <w:start w:val="1"/>
      <w:numFmt w:val="decimal"/>
      <w:lvlText w:val="%1.%2.%3.%4.%5"/>
      <w:lvlJc w:val="left"/>
      <w:pPr>
        <w:tabs>
          <w:tab w:val="num" w:pos="1368"/>
        </w:tabs>
        <w:ind w:left="1368" w:hanging="1080"/>
      </w:pPr>
      <w:rPr>
        <w:rFonts w:hint="default"/>
        <w:sz w:val="20"/>
      </w:rPr>
    </w:lvl>
    <w:lvl w:ilvl="5">
      <w:start w:val="1"/>
      <w:numFmt w:val="decimal"/>
      <w:lvlText w:val="%1.%2.%3.%4.%5.%6"/>
      <w:lvlJc w:val="left"/>
      <w:pPr>
        <w:tabs>
          <w:tab w:val="num" w:pos="1800"/>
        </w:tabs>
        <w:ind w:left="1800" w:hanging="1440"/>
      </w:pPr>
      <w:rPr>
        <w:rFonts w:hint="default"/>
        <w:sz w:val="20"/>
      </w:rPr>
    </w:lvl>
    <w:lvl w:ilvl="6">
      <w:start w:val="1"/>
      <w:numFmt w:val="decimal"/>
      <w:lvlText w:val="%1.%2.%3.%4.%5.%6.%7"/>
      <w:lvlJc w:val="left"/>
      <w:pPr>
        <w:tabs>
          <w:tab w:val="num" w:pos="2232"/>
        </w:tabs>
        <w:ind w:left="2232" w:hanging="1800"/>
      </w:pPr>
      <w:rPr>
        <w:rFonts w:hint="default"/>
        <w:sz w:val="20"/>
      </w:rPr>
    </w:lvl>
    <w:lvl w:ilvl="7">
      <w:start w:val="1"/>
      <w:numFmt w:val="decimal"/>
      <w:lvlText w:val="%1.%2.%3.%4.%5.%6.%7.%8"/>
      <w:lvlJc w:val="left"/>
      <w:pPr>
        <w:tabs>
          <w:tab w:val="num" w:pos="2304"/>
        </w:tabs>
        <w:ind w:left="2304" w:hanging="1800"/>
      </w:pPr>
      <w:rPr>
        <w:rFonts w:hint="default"/>
        <w:sz w:val="20"/>
      </w:rPr>
    </w:lvl>
    <w:lvl w:ilvl="8">
      <w:start w:val="1"/>
      <w:numFmt w:val="decimal"/>
      <w:lvlText w:val="%1.%2.%3.%4.%5.%6.%7.%8.%9"/>
      <w:lvlJc w:val="left"/>
      <w:pPr>
        <w:tabs>
          <w:tab w:val="num" w:pos="2736"/>
        </w:tabs>
        <w:ind w:left="2736" w:hanging="2160"/>
      </w:pPr>
      <w:rPr>
        <w:rFonts w:hint="default"/>
        <w:sz w:val="20"/>
      </w:rPr>
    </w:lvl>
  </w:abstractNum>
  <w:abstractNum w:abstractNumId="3" w15:restartNumberingAfterBreak="0">
    <w:nsid w:val="1D450C38"/>
    <w:multiLevelType w:val="multilevel"/>
    <w:tmpl w:val="261A09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3536C4F"/>
    <w:multiLevelType w:val="multilevel"/>
    <w:tmpl w:val="4FCCDA48"/>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831FA"/>
    <w:multiLevelType w:val="hybridMultilevel"/>
    <w:tmpl w:val="190E7538"/>
    <w:lvl w:ilvl="0" w:tplc="0916065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27704F"/>
    <w:multiLevelType w:val="multilevel"/>
    <w:tmpl w:val="996C6B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574CBC"/>
    <w:multiLevelType w:val="multilevel"/>
    <w:tmpl w:val="1A10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571969"/>
    <w:multiLevelType w:val="hybridMultilevel"/>
    <w:tmpl w:val="06D0B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4211C33"/>
    <w:multiLevelType w:val="multilevel"/>
    <w:tmpl w:val="14EADD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765C74"/>
    <w:multiLevelType w:val="multilevel"/>
    <w:tmpl w:val="0680B786"/>
    <w:lvl w:ilvl="0">
      <w:start w:val="2"/>
      <w:numFmt w:val="decimal"/>
      <w:lvlText w:val="%1."/>
      <w:lvlJc w:val="left"/>
      <w:pPr>
        <w:ind w:left="360" w:hanging="360"/>
      </w:pPr>
      <w:rPr>
        <w:rFonts w:hint="default"/>
        <w:b/>
        <w:i/>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711413D"/>
    <w:multiLevelType w:val="hybridMultilevel"/>
    <w:tmpl w:val="61EC24B8"/>
    <w:lvl w:ilvl="0" w:tplc="F56E16D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743C26"/>
    <w:multiLevelType w:val="hybridMultilevel"/>
    <w:tmpl w:val="605AE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4753CF"/>
    <w:multiLevelType w:val="multilevel"/>
    <w:tmpl w:val="EC4E19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412EA1"/>
    <w:multiLevelType w:val="hybridMultilevel"/>
    <w:tmpl w:val="B80EA352"/>
    <w:lvl w:ilvl="0" w:tplc="0A8A987E">
      <w:start w:val="5"/>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29055FA"/>
    <w:multiLevelType w:val="multilevel"/>
    <w:tmpl w:val="358E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792265"/>
    <w:multiLevelType w:val="multilevel"/>
    <w:tmpl w:val="261A09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0465915"/>
    <w:multiLevelType w:val="hybridMultilevel"/>
    <w:tmpl w:val="2F1475AC"/>
    <w:lvl w:ilvl="0" w:tplc="47FC21BA">
      <w:numFmt w:val="bullet"/>
      <w:lvlText w:val=""/>
      <w:lvlJc w:val="left"/>
      <w:pPr>
        <w:ind w:left="720" w:hanging="360"/>
      </w:pPr>
      <w:rPr>
        <w:rFonts w:ascii="Symbol" w:eastAsia="Times New Roman" w:hAnsi="Symbol"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CAD1A96"/>
    <w:multiLevelType w:val="multilevel"/>
    <w:tmpl w:val="41EC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4614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1802A91"/>
    <w:multiLevelType w:val="multilevel"/>
    <w:tmpl w:val="261A09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54E2C76"/>
    <w:multiLevelType w:val="hybridMultilevel"/>
    <w:tmpl w:val="C0061E9A"/>
    <w:lvl w:ilvl="0" w:tplc="6826EFBC">
      <w:start w:val="1"/>
      <w:numFmt w:val="decimal"/>
      <w:lvlText w:val="%1."/>
      <w:lvlJc w:val="left"/>
      <w:pPr>
        <w:ind w:left="720" w:hanging="360"/>
      </w:pPr>
      <w:rPr>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A475D3"/>
    <w:multiLevelType w:val="multilevel"/>
    <w:tmpl w:val="261A09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88C71EE"/>
    <w:multiLevelType w:val="multilevel"/>
    <w:tmpl w:val="18443CB0"/>
    <w:lvl w:ilvl="0">
      <w:start w:val="1"/>
      <w:numFmt w:val="decimal"/>
      <w:lvlText w:val="%1"/>
      <w:lvlJc w:val="left"/>
      <w:pPr>
        <w:tabs>
          <w:tab w:val="num" w:pos="570"/>
        </w:tabs>
        <w:ind w:left="570" w:hanging="570"/>
      </w:pPr>
    </w:lvl>
    <w:lvl w:ilvl="1">
      <w:start w:val="10"/>
      <w:numFmt w:val="decimal"/>
      <w:lvlText w:val="%1.%2"/>
      <w:lvlJc w:val="left"/>
      <w:pPr>
        <w:tabs>
          <w:tab w:val="num" w:pos="795"/>
        </w:tabs>
        <w:ind w:left="795" w:hanging="720"/>
      </w:pPr>
    </w:lvl>
    <w:lvl w:ilvl="2">
      <w:start w:val="1"/>
      <w:numFmt w:val="decimal"/>
      <w:lvlText w:val="%1.%2.%3"/>
      <w:lvlJc w:val="left"/>
      <w:pPr>
        <w:tabs>
          <w:tab w:val="num" w:pos="870"/>
        </w:tabs>
        <w:ind w:left="870" w:hanging="720"/>
      </w:pPr>
    </w:lvl>
    <w:lvl w:ilvl="3">
      <w:start w:val="1"/>
      <w:numFmt w:val="decimal"/>
      <w:lvlText w:val="%1.%2.%3.%4"/>
      <w:lvlJc w:val="left"/>
      <w:pPr>
        <w:tabs>
          <w:tab w:val="num" w:pos="1305"/>
        </w:tabs>
        <w:ind w:left="1305" w:hanging="1080"/>
      </w:pPr>
    </w:lvl>
    <w:lvl w:ilvl="4">
      <w:start w:val="1"/>
      <w:numFmt w:val="decimal"/>
      <w:lvlText w:val="%1.%2.%3.%4.%5"/>
      <w:lvlJc w:val="left"/>
      <w:pPr>
        <w:tabs>
          <w:tab w:val="num" w:pos="1380"/>
        </w:tabs>
        <w:ind w:left="1380" w:hanging="1080"/>
      </w:pPr>
    </w:lvl>
    <w:lvl w:ilvl="5">
      <w:start w:val="1"/>
      <w:numFmt w:val="decimal"/>
      <w:lvlText w:val="%1.%2.%3.%4.%5.%6"/>
      <w:lvlJc w:val="left"/>
      <w:pPr>
        <w:tabs>
          <w:tab w:val="num" w:pos="1815"/>
        </w:tabs>
        <w:ind w:left="1815" w:hanging="1440"/>
      </w:pPr>
    </w:lvl>
    <w:lvl w:ilvl="6">
      <w:start w:val="1"/>
      <w:numFmt w:val="decimal"/>
      <w:lvlText w:val="%1.%2.%3.%4.%5.%6.%7"/>
      <w:lvlJc w:val="left"/>
      <w:pPr>
        <w:tabs>
          <w:tab w:val="num" w:pos="2250"/>
        </w:tabs>
        <w:ind w:left="2250" w:hanging="1800"/>
      </w:pPr>
    </w:lvl>
    <w:lvl w:ilvl="7">
      <w:start w:val="1"/>
      <w:numFmt w:val="decimal"/>
      <w:lvlText w:val="%1.%2.%3.%4.%5.%6.%7.%8"/>
      <w:lvlJc w:val="left"/>
      <w:pPr>
        <w:tabs>
          <w:tab w:val="num" w:pos="2325"/>
        </w:tabs>
        <w:ind w:left="2325" w:hanging="1800"/>
      </w:pPr>
    </w:lvl>
    <w:lvl w:ilvl="8">
      <w:start w:val="1"/>
      <w:numFmt w:val="decimal"/>
      <w:lvlText w:val="%1.%2.%3.%4.%5.%6.%7.%8.%9"/>
      <w:lvlJc w:val="left"/>
      <w:pPr>
        <w:tabs>
          <w:tab w:val="num" w:pos="2760"/>
        </w:tabs>
        <w:ind w:left="2760" w:hanging="2160"/>
      </w:pPr>
    </w:lvl>
  </w:abstractNum>
  <w:num w:numId="1" w16cid:durableId="18029147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678337">
    <w:abstractNumId w:val="19"/>
  </w:num>
  <w:num w:numId="3" w16cid:durableId="1396200954">
    <w:abstractNumId w:val="9"/>
  </w:num>
  <w:num w:numId="4" w16cid:durableId="1134255472">
    <w:abstractNumId w:val="13"/>
  </w:num>
  <w:num w:numId="5" w16cid:durableId="1025331078">
    <w:abstractNumId w:val="10"/>
  </w:num>
  <w:num w:numId="6" w16cid:durableId="1822958777">
    <w:abstractNumId w:val="23"/>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9123760">
    <w:abstractNumId w:val="2"/>
  </w:num>
  <w:num w:numId="8" w16cid:durableId="1371759955">
    <w:abstractNumId w:val="18"/>
  </w:num>
  <w:num w:numId="9" w16cid:durableId="1107194328">
    <w:abstractNumId w:val="12"/>
  </w:num>
  <w:num w:numId="10" w16cid:durableId="65808791">
    <w:abstractNumId w:val="10"/>
  </w:num>
  <w:num w:numId="11" w16cid:durableId="550075652">
    <w:abstractNumId w:val="21"/>
  </w:num>
  <w:num w:numId="12" w16cid:durableId="1679766154">
    <w:abstractNumId w:val="4"/>
  </w:num>
  <w:num w:numId="13" w16cid:durableId="746461961">
    <w:abstractNumId w:val="20"/>
  </w:num>
  <w:num w:numId="14" w16cid:durableId="1831827255">
    <w:abstractNumId w:val="14"/>
  </w:num>
  <w:num w:numId="15" w16cid:durableId="969045586">
    <w:abstractNumId w:val="11"/>
  </w:num>
  <w:num w:numId="16" w16cid:durableId="1259219087">
    <w:abstractNumId w:val="22"/>
  </w:num>
  <w:num w:numId="17" w16cid:durableId="976179958">
    <w:abstractNumId w:val="16"/>
  </w:num>
  <w:num w:numId="18" w16cid:durableId="668824220">
    <w:abstractNumId w:val="3"/>
  </w:num>
  <w:num w:numId="19" w16cid:durableId="1462845908">
    <w:abstractNumId w:val="0"/>
  </w:num>
  <w:num w:numId="20" w16cid:durableId="1122766112">
    <w:abstractNumId w:val="5"/>
  </w:num>
  <w:num w:numId="21" w16cid:durableId="1421609354">
    <w:abstractNumId w:val="7"/>
  </w:num>
  <w:num w:numId="22" w16cid:durableId="966005173">
    <w:abstractNumId w:val="6"/>
  </w:num>
  <w:num w:numId="23" w16cid:durableId="1503742470">
    <w:abstractNumId w:val="15"/>
  </w:num>
  <w:num w:numId="24" w16cid:durableId="2068869698">
    <w:abstractNumId w:val="1"/>
  </w:num>
  <w:num w:numId="25" w16cid:durableId="732773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15"/>
    <w:rsid w:val="00066751"/>
    <w:rsid w:val="0013721C"/>
    <w:rsid w:val="001C0E0D"/>
    <w:rsid w:val="001F5E93"/>
    <w:rsid w:val="00212BA0"/>
    <w:rsid w:val="0028379E"/>
    <w:rsid w:val="002D5AB2"/>
    <w:rsid w:val="002F7F5C"/>
    <w:rsid w:val="003E4A15"/>
    <w:rsid w:val="00477414"/>
    <w:rsid w:val="005848C7"/>
    <w:rsid w:val="005B64FA"/>
    <w:rsid w:val="005D3AEF"/>
    <w:rsid w:val="0068340E"/>
    <w:rsid w:val="00743660"/>
    <w:rsid w:val="00745332"/>
    <w:rsid w:val="0077636B"/>
    <w:rsid w:val="00824FBD"/>
    <w:rsid w:val="008726BF"/>
    <w:rsid w:val="008F4666"/>
    <w:rsid w:val="009078EA"/>
    <w:rsid w:val="0091366F"/>
    <w:rsid w:val="00922612"/>
    <w:rsid w:val="009B7FBE"/>
    <w:rsid w:val="00A31747"/>
    <w:rsid w:val="00A5271A"/>
    <w:rsid w:val="00A62295"/>
    <w:rsid w:val="00B17BBF"/>
    <w:rsid w:val="00B551A5"/>
    <w:rsid w:val="00C4599C"/>
    <w:rsid w:val="00CA434A"/>
    <w:rsid w:val="00CD64AB"/>
    <w:rsid w:val="00D525E7"/>
    <w:rsid w:val="00DB435E"/>
    <w:rsid w:val="00DE2D0A"/>
    <w:rsid w:val="00E43A3F"/>
    <w:rsid w:val="00E84C90"/>
    <w:rsid w:val="00EB33F9"/>
    <w:rsid w:val="00EF311D"/>
    <w:rsid w:val="00EF6EF0"/>
    <w:rsid w:val="00F11211"/>
    <w:rsid w:val="00FE48F9"/>
    <w:rsid w:val="01FCC81E"/>
    <w:rsid w:val="093DF4D5"/>
    <w:rsid w:val="2A406492"/>
    <w:rsid w:val="2A6D9B54"/>
    <w:rsid w:val="2BC29C8B"/>
    <w:rsid w:val="2ECCF991"/>
    <w:rsid w:val="51F83D7F"/>
    <w:rsid w:val="6206FEE5"/>
    <w:rsid w:val="6B64EFDD"/>
    <w:rsid w:val="71EC9A66"/>
    <w:rsid w:val="7C5B7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E4236"/>
  <w15:chartTrackingRefBased/>
  <w15:docId w15:val="{1B58CB6F-154B-42D2-B0FB-2DF3978C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US" w:eastAsia="en-US"/>
    </w:rPr>
  </w:style>
  <w:style w:type="paragraph" w:styleId="Heading1">
    <w:name w:val="heading 1"/>
    <w:basedOn w:val="Normal"/>
    <w:next w:val="Normal"/>
    <w:link w:val="Heading1Char"/>
    <w:qFormat/>
    <w:rsid w:val="003E4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3E4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E4A1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nhideWhenUsed/>
    <w:qFormat/>
    <w:rsid w:val="003E4A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semiHidden/>
    <w:unhideWhenUsed/>
    <w:qFormat/>
    <w:rsid w:val="003E4A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semiHidden/>
    <w:unhideWhenUsed/>
    <w:qFormat/>
    <w:rsid w:val="003E4A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3E4A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3E4A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3E4A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4A15"/>
    <w:rPr>
      <w:rFonts w:asciiTheme="majorHAnsi" w:eastAsiaTheme="majorEastAsia" w:hAnsiTheme="majorHAnsi" w:cstheme="majorBidi"/>
      <w:color w:val="0F4761" w:themeColor="accent1" w:themeShade="BF"/>
      <w:sz w:val="40"/>
      <w:szCs w:val="40"/>
      <w:lang w:val="en-US" w:eastAsia="en-US"/>
    </w:rPr>
  </w:style>
  <w:style w:type="character" w:customStyle="1" w:styleId="Heading2Char">
    <w:name w:val="Heading 2 Char"/>
    <w:basedOn w:val="DefaultParagraphFont"/>
    <w:link w:val="Heading2"/>
    <w:semiHidden/>
    <w:rsid w:val="003E4A15"/>
    <w:rPr>
      <w:rFonts w:asciiTheme="majorHAnsi" w:eastAsiaTheme="majorEastAsia" w:hAnsiTheme="majorHAnsi" w:cstheme="majorBidi"/>
      <w:color w:val="0F4761" w:themeColor="accent1" w:themeShade="BF"/>
      <w:sz w:val="32"/>
      <w:szCs w:val="32"/>
      <w:lang w:val="en-US" w:eastAsia="en-US"/>
    </w:rPr>
  </w:style>
  <w:style w:type="character" w:customStyle="1" w:styleId="Heading3Char">
    <w:name w:val="Heading 3 Char"/>
    <w:basedOn w:val="DefaultParagraphFont"/>
    <w:link w:val="Heading3"/>
    <w:semiHidden/>
    <w:rsid w:val="003E4A15"/>
    <w:rPr>
      <w:rFonts w:asciiTheme="minorHAnsi" w:eastAsiaTheme="majorEastAsia" w:hAnsiTheme="minorHAnsi" w:cstheme="majorBidi"/>
      <w:color w:val="0F4761" w:themeColor="accent1" w:themeShade="BF"/>
      <w:sz w:val="28"/>
      <w:szCs w:val="28"/>
      <w:lang w:val="en-US" w:eastAsia="en-US"/>
    </w:rPr>
  </w:style>
  <w:style w:type="character" w:customStyle="1" w:styleId="Heading4Char">
    <w:name w:val="Heading 4 Char"/>
    <w:basedOn w:val="DefaultParagraphFont"/>
    <w:link w:val="Heading4"/>
    <w:semiHidden/>
    <w:rsid w:val="003E4A15"/>
    <w:rPr>
      <w:rFonts w:asciiTheme="minorHAnsi" w:eastAsiaTheme="majorEastAsia" w:hAnsiTheme="minorHAnsi" w:cstheme="majorBidi"/>
      <w:i/>
      <w:iCs/>
      <w:color w:val="0F4761" w:themeColor="accent1" w:themeShade="BF"/>
      <w:sz w:val="24"/>
      <w:szCs w:val="24"/>
      <w:lang w:val="en-US" w:eastAsia="en-US"/>
    </w:rPr>
  </w:style>
  <w:style w:type="character" w:customStyle="1" w:styleId="Heading5Char">
    <w:name w:val="Heading 5 Char"/>
    <w:basedOn w:val="DefaultParagraphFont"/>
    <w:link w:val="Heading5"/>
    <w:semiHidden/>
    <w:rsid w:val="003E4A15"/>
    <w:rPr>
      <w:rFonts w:asciiTheme="minorHAnsi" w:eastAsiaTheme="majorEastAsia" w:hAnsiTheme="minorHAnsi" w:cstheme="majorBidi"/>
      <w:color w:val="0F4761" w:themeColor="accent1" w:themeShade="BF"/>
      <w:sz w:val="24"/>
      <w:szCs w:val="24"/>
      <w:lang w:val="en-US" w:eastAsia="en-US"/>
    </w:rPr>
  </w:style>
  <w:style w:type="character" w:customStyle="1" w:styleId="Heading6Char">
    <w:name w:val="Heading 6 Char"/>
    <w:basedOn w:val="DefaultParagraphFont"/>
    <w:link w:val="Heading6"/>
    <w:semiHidden/>
    <w:rsid w:val="003E4A15"/>
    <w:rPr>
      <w:rFonts w:asciiTheme="minorHAnsi" w:eastAsiaTheme="majorEastAsia" w:hAnsiTheme="minorHAnsi" w:cstheme="majorBidi"/>
      <w:i/>
      <w:iCs/>
      <w:color w:val="595959" w:themeColor="text1" w:themeTint="A6"/>
      <w:sz w:val="24"/>
      <w:szCs w:val="24"/>
      <w:lang w:val="en-US" w:eastAsia="en-US"/>
    </w:rPr>
  </w:style>
  <w:style w:type="character" w:customStyle="1" w:styleId="Heading7Char">
    <w:name w:val="Heading 7 Char"/>
    <w:basedOn w:val="DefaultParagraphFont"/>
    <w:link w:val="Heading7"/>
    <w:semiHidden/>
    <w:rsid w:val="003E4A15"/>
    <w:rPr>
      <w:rFonts w:asciiTheme="minorHAnsi" w:eastAsiaTheme="majorEastAsia" w:hAnsiTheme="minorHAnsi" w:cstheme="majorBidi"/>
      <w:color w:val="595959" w:themeColor="text1" w:themeTint="A6"/>
      <w:sz w:val="24"/>
      <w:szCs w:val="24"/>
      <w:lang w:val="en-US" w:eastAsia="en-US"/>
    </w:rPr>
  </w:style>
  <w:style w:type="character" w:customStyle="1" w:styleId="Heading8Char">
    <w:name w:val="Heading 8 Char"/>
    <w:basedOn w:val="DefaultParagraphFont"/>
    <w:link w:val="Heading8"/>
    <w:semiHidden/>
    <w:rsid w:val="003E4A15"/>
    <w:rPr>
      <w:rFonts w:asciiTheme="minorHAnsi" w:eastAsiaTheme="majorEastAsia" w:hAnsiTheme="minorHAnsi" w:cstheme="majorBidi"/>
      <w:i/>
      <w:iCs/>
      <w:color w:val="272727" w:themeColor="text1" w:themeTint="D8"/>
      <w:sz w:val="24"/>
      <w:szCs w:val="24"/>
      <w:lang w:val="en-US" w:eastAsia="en-US"/>
    </w:rPr>
  </w:style>
  <w:style w:type="character" w:customStyle="1" w:styleId="Heading9Char">
    <w:name w:val="Heading 9 Char"/>
    <w:basedOn w:val="DefaultParagraphFont"/>
    <w:link w:val="Heading9"/>
    <w:semiHidden/>
    <w:rsid w:val="003E4A15"/>
    <w:rPr>
      <w:rFonts w:asciiTheme="minorHAnsi" w:eastAsiaTheme="majorEastAsia" w:hAnsiTheme="minorHAnsi" w:cstheme="majorBidi"/>
      <w:color w:val="272727" w:themeColor="text1" w:themeTint="D8"/>
      <w:sz w:val="24"/>
      <w:szCs w:val="24"/>
      <w:lang w:val="en-US" w:eastAsia="en-US"/>
    </w:rPr>
  </w:style>
  <w:style w:type="paragraph" w:styleId="Title">
    <w:name w:val="Title"/>
    <w:basedOn w:val="Normal"/>
    <w:next w:val="Normal"/>
    <w:link w:val="TitleChar"/>
    <w:qFormat/>
    <w:rsid w:val="003E4A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E4A15"/>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qFormat/>
    <w:rsid w:val="003E4A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3E4A15"/>
    <w:rPr>
      <w:rFonts w:asciiTheme="minorHAnsi" w:eastAsiaTheme="majorEastAsia" w:hAnsiTheme="minorHAnsi" w:cstheme="majorBidi"/>
      <w:color w:val="595959" w:themeColor="text1" w:themeTint="A6"/>
      <w:spacing w:val="15"/>
      <w:sz w:val="28"/>
      <w:szCs w:val="28"/>
      <w:lang w:val="en-US" w:eastAsia="en-US"/>
    </w:rPr>
  </w:style>
  <w:style w:type="paragraph" w:styleId="Quote">
    <w:name w:val="Quote"/>
    <w:basedOn w:val="Normal"/>
    <w:next w:val="Normal"/>
    <w:link w:val="QuoteChar"/>
    <w:uiPriority w:val="29"/>
    <w:qFormat/>
    <w:rsid w:val="003E4A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4A15"/>
    <w:rPr>
      <w:rFonts w:ascii="Arial" w:hAnsi="Arial"/>
      <w:i/>
      <w:iCs/>
      <w:color w:val="404040" w:themeColor="text1" w:themeTint="BF"/>
      <w:sz w:val="24"/>
      <w:szCs w:val="24"/>
      <w:lang w:val="en-US" w:eastAsia="en-US"/>
    </w:rPr>
  </w:style>
  <w:style w:type="paragraph" w:styleId="ListParagraph">
    <w:name w:val="List Paragraph"/>
    <w:basedOn w:val="Normal"/>
    <w:uiPriority w:val="34"/>
    <w:qFormat/>
    <w:rsid w:val="003E4A15"/>
    <w:pPr>
      <w:ind w:left="720"/>
      <w:contextualSpacing/>
    </w:pPr>
  </w:style>
  <w:style w:type="character" w:styleId="IntenseEmphasis">
    <w:name w:val="Intense Emphasis"/>
    <w:basedOn w:val="DefaultParagraphFont"/>
    <w:uiPriority w:val="21"/>
    <w:qFormat/>
    <w:rsid w:val="003E4A15"/>
    <w:rPr>
      <w:i/>
      <w:iCs/>
      <w:color w:val="0F4761" w:themeColor="accent1" w:themeShade="BF"/>
    </w:rPr>
  </w:style>
  <w:style w:type="paragraph" w:styleId="IntenseQuote">
    <w:name w:val="Intense Quote"/>
    <w:basedOn w:val="Normal"/>
    <w:next w:val="Normal"/>
    <w:link w:val="IntenseQuoteChar"/>
    <w:uiPriority w:val="30"/>
    <w:qFormat/>
    <w:rsid w:val="003E4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A15"/>
    <w:rPr>
      <w:rFonts w:ascii="Arial" w:hAnsi="Arial"/>
      <w:i/>
      <w:iCs/>
      <w:color w:val="0F4761" w:themeColor="accent1" w:themeShade="BF"/>
      <w:sz w:val="24"/>
      <w:szCs w:val="24"/>
      <w:lang w:val="en-US" w:eastAsia="en-US"/>
    </w:rPr>
  </w:style>
  <w:style w:type="character" w:styleId="IntenseReference">
    <w:name w:val="Intense Reference"/>
    <w:basedOn w:val="DefaultParagraphFont"/>
    <w:uiPriority w:val="32"/>
    <w:qFormat/>
    <w:rsid w:val="003E4A15"/>
    <w:rPr>
      <w:b/>
      <w:bCs/>
      <w:smallCaps/>
      <w:color w:val="0F4761" w:themeColor="accent1" w:themeShade="BF"/>
      <w:spacing w:val="5"/>
    </w:rPr>
  </w:style>
  <w:style w:type="paragraph" w:styleId="BodyText">
    <w:name w:val="Body Text"/>
    <w:basedOn w:val="Normal"/>
    <w:link w:val="BodyTextChar"/>
    <w:rsid w:val="003E4A15"/>
    <w:pPr>
      <w:spacing w:after="120"/>
    </w:pPr>
  </w:style>
  <w:style w:type="character" w:customStyle="1" w:styleId="BodyTextChar">
    <w:name w:val="Body Text Char"/>
    <w:basedOn w:val="DefaultParagraphFont"/>
    <w:link w:val="BodyText"/>
    <w:rsid w:val="003E4A15"/>
    <w:rPr>
      <w:rFonts w:ascii="Arial" w:hAnsi="Arial"/>
      <w:sz w:val="24"/>
      <w:szCs w:val="24"/>
      <w:lang w:val="en-US" w:eastAsia="en-US"/>
    </w:rPr>
  </w:style>
  <w:style w:type="paragraph" w:styleId="BodyTextIndent2">
    <w:name w:val="Body Text Indent 2"/>
    <w:basedOn w:val="Normal"/>
    <w:link w:val="BodyTextIndent2Char"/>
    <w:rsid w:val="003E4A15"/>
    <w:pPr>
      <w:spacing w:after="120" w:line="480" w:lineRule="auto"/>
      <w:ind w:left="283"/>
    </w:pPr>
  </w:style>
  <w:style w:type="character" w:customStyle="1" w:styleId="BodyTextIndent2Char">
    <w:name w:val="Body Text Indent 2 Char"/>
    <w:basedOn w:val="DefaultParagraphFont"/>
    <w:link w:val="BodyTextIndent2"/>
    <w:rsid w:val="003E4A15"/>
    <w:rPr>
      <w:rFonts w:ascii="Arial" w:hAnsi="Arial"/>
      <w:sz w:val="24"/>
      <w:szCs w:val="24"/>
      <w:lang w:val="en-US" w:eastAsia="en-US"/>
    </w:rPr>
  </w:style>
  <w:style w:type="paragraph" w:styleId="FootnoteText">
    <w:name w:val="footnote text"/>
    <w:basedOn w:val="Normal"/>
    <w:link w:val="FootnoteTextChar"/>
    <w:unhideWhenUsed/>
    <w:rsid w:val="003E4A15"/>
    <w:rPr>
      <w:rFonts w:ascii="Tahoma" w:hAnsi="Tahoma"/>
      <w:kern w:val="0"/>
      <w:sz w:val="20"/>
      <w:szCs w:val="20"/>
      <w:lang w:val="fr-FR"/>
      <w14:ligatures w14:val="none"/>
    </w:rPr>
  </w:style>
  <w:style w:type="character" w:customStyle="1" w:styleId="FootnoteTextChar">
    <w:name w:val="Footnote Text Char"/>
    <w:basedOn w:val="DefaultParagraphFont"/>
    <w:link w:val="FootnoteText"/>
    <w:rsid w:val="003E4A15"/>
    <w:rPr>
      <w:rFonts w:ascii="Tahoma" w:hAnsi="Tahoma"/>
      <w:kern w:val="0"/>
      <w:lang w:val="fr-FR" w:eastAsia="en-US"/>
      <w14:ligatures w14:val="none"/>
    </w:rPr>
  </w:style>
  <w:style w:type="character" w:styleId="FootnoteReference">
    <w:name w:val="footnote reference"/>
    <w:unhideWhenUsed/>
    <w:rsid w:val="003E4A15"/>
    <w:rPr>
      <w:vertAlign w:val="superscript"/>
    </w:rPr>
  </w:style>
  <w:style w:type="paragraph" w:styleId="Header">
    <w:name w:val="header"/>
    <w:basedOn w:val="Normal"/>
    <w:link w:val="HeaderChar"/>
    <w:rsid w:val="00E84C90"/>
    <w:pPr>
      <w:tabs>
        <w:tab w:val="center" w:pos="4680"/>
        <w:tab w:val="right" w:pos="9360"/>
      </w:tabs>
    </w:pPr>
  </w:style>
  <w:style w:type="character" w:customStyle="1" w:styleId="HeaderChar">
    <w:name w:val="Header Char"/>
    <w:basedOn w:val="DefaultParagraphFont"/>
    <w:link w:val="Header"/>
    <w:rsid w:val="00E84C90"/>
    <w:rPr>
      <w:rFonts w:ascii="Arial" w:hAnsi="Arial"/>
      <w:sz w:val="24"/>
      <w:szCs w:val="24"/>
      <w:lang w:val="en-US" w:eastAsia="en-US"/>
    </w:rPr>
  </w:style>
  <w:style w:type="paragraph" w:styleId="Footer">
    <w:name w:val="footer"/>
    <w:basedOn w:val="Normal"/>
    <w:link w:val="FooterChar"/>
    <w:uiPriority w:val="99"/>
    <w:rsid w:val="00E84C90"/>
    <w:pPr>
      <w:tabs>
        <w:tab w:val="center" w:pos="4680"/>
        <w:tab w:val="right" w:pos="9360"/>
      </w:tabs>
    </w:pPr>
  </w:style>
  <w:style w:type="character" w:customStyle="1" w:styleId="FooterChar">
    <w:name w:val="Footer Char"/>
    <w:basedOn w:val="DefaultParagraphFont"/>
    <w:link w:val="Footer"/>
    <w:uiPriority w:val="99"/>
    <w:rsid w:val="00E84C90"/>
    <w:rPr>
      <w:rFonts w:ascii="Arial" w:hAnsi="Arial"/>
      <w:sz w:val="24"/>
      <w:szCs w:val="24"/>
      <w:lang w:val="en-US"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C663D234-DF66-4A9D-9264-F6B3FBC5D57E}"/>
</file>

<file path=customXml/itemProps2.xml><?xml version="1.0" encoding="utf-8"?>
<ds:datastoreItem xmlns:ds="http://schemas.openxmlformats.org/officeDocument/2006/customXml" ds:itemID="{9688D34E-7831-40ED-A345-DCBA9BD78299}"/>
</file>

<file path=customXml/itemProps3.xml><?xml version="1.0" encoding="utf-8"?>
<ds:datastoreItem xmlns:ds="http://schemas.openxmlformats.org/officeDocument/2006/customXml" ds:itemID="{3AE243B2-4866-4AA1-8D11-A4FB32638FE7}"/>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4478</Characters>
  <Application>Microsoft Office Word</Application>
  <DocSecurity>0</DocSecurity>
  <Lines>37</Lines>
  <Paragraphs>10</Paragraphs>
  <ScaleCrop>false</ScaleCrop>
  <Company>RIZIV-INAMI</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Duran (RIZIV-INAMI)</dc:creator>
  <cp:keywords/>
  <dc:description/>
  <cp:lastModifiedBy>Merve Duran (RIZIV-INAMI)</cp:lastModifiedBy>
  <cp:revision>11</cp:revision>
  <cp:lastPrinted>2025-12-23T09:32:00Z</cp:lastPrinted>
  <dcterms:created xsi:type="dcterms:W3CDTF">2026-01-08T13:19:00Z</dcterms:created>
  <dcterms:modified xsi:type="dcterms:W3CDTF">2026-02-20T10:52:00Z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