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3DAA" w14:textId="3622321F" w:rsidR="002B0F6F" w:rsidRPr="002B0F6F" w:rsidRDefault="002B0F6F" w:rsidP="28AD132C">
      <w:pPr>
        <w:spacing w:after="0" w:line="240" w:lineRule="auto"/>
        <w:jc w:val="both"/>
        <w:rPr>
          <w:rFonts w:asciiTheme="minorHAnsi" w:hAnsiTheme="minorHAnsi"/>
          <w:b/>
          <w:bCs/>
          <w:u w:val="single"/>
        </w:rPr>
      </w:pPr>
      <w:r w:rsidRPr="28AD132C">
        <w:rPr>
          <w:rFonts w:asciiTheme="minorHAnsi" w:hAnsiTheme="minorHAnsi"/>
          <w:b/>
          <w:bCs/>
          <w:u w:val="single"/>
        </w:rPr>
        <w:t xml:space="preserve">GUIDE PRATIQUE POUR LA SOUMISSION DES DEMANDES D’INTERVENTION DE L’ASSURANCE MALADIE DANS LE CADRE D’UN ACCÈS </w:t>
      </w:r>
      <w:r w:rsidR="00BC29A3">
        <w:rPr>
          <w:rFonts w:asciiTheme="minorHAnsi" w:hAnsiTheme="minorHAnsi"/>
          <w:b/>
          <w:bCs/>
          <w:u w:val="single"/>
        </w:rPr>
        <w:t>RAPIDE</w:t>
      </w:r>
      <w:r w:rsidRPr="28AD132C">
        <w:rPr>
          <w:rFonts w:asciiTheme="minorHAnsi" w:hAnsiTheme="minorHAnsi"/>
          <w:b/>
          <w:bCs/>
          <w:u w:val="single"/>
        </w:rPr>
        <w:t xml:space="preserve"> </w:t>
      </w:r>
    </w:p>
    <w:p w14:paraId="17B7A66F" w14:textId="77777777" w:rsidR="002B0F6F" w:rsidRDefault="002B0F6F" w:rsidP="00370EF1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817CB1" w14:textId="035C97F7" w:rsidR="003945A5" w:rsidRDefault="00EC58DB" w:rsidP="28AD132C">
      <w:pPr>
        <w:spacing w:after="0" w:line="240" w:lineRule="auto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28AD132C">
        <w:rPr>
          <w:rFonts w:asciiTheme="minorHAnsi" w:hAnsiTheme="minorHAnsi"/>
          <w:b/>
          <w:bCs/>
          <w:sz w:val="22"/>
          <w:szCs w:val="22"/>
          <w:u w:val="single"/>
        </w:rPr>
        <w:t xml:space="preserve">PROCÉDURE POUR LE TRANSFERT DE PORTEFEUILLE ENTRE ENTREPRISES RESPONSABLES POUR DES SPÉCIALITÉS PHARMACEUTIQUES FAISANT OBJET D’UN ACCÈS </w:t>
      </w:r>
      <w:r w:rsidR="00BC29A3">
        <w:rPr>
          <w:rFonts w:asciiTheme="minorHAnsi" w:hAnsiTheme="minorHAnsi"/>
          <w:b/>
          <w:bCs/>
          <w:sz w:val="22"/>
          <w:szCs w:val="22"/>
          <w:u w:val="single"/>
        </w:rPr>
        <w:t>RAPIDE</w:t>
      </w:r>
    </w:p>
    <w:p w14:paraId="6A3145EB" w14:textId="77777777" w:rsidR="00BA7D94" w:rsidRPr="00370EF1" w:rsidRDefault="00BA7D94" w:rsidP="00370EF1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0E40DC" w14:textId="138597B1" w:rsidR="003945A5" w:rsidRPr="00370EF1" w:rsidRDefault="003945A5" w:rsidP="28AD132C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10B14676">
        <w:rPr>
          <w:rFonts w:asciiTheme="minorHAnsi" w:hAnsiTheme="minorHAnsi"/>
          <w:sz w:val="22"/>
          <w:szCs w:val="22"/>
        </w:rPr>
        <w:t xml:space="preserve">Voici la procédure à suivre lorsqu’une entreprise responsable pour des spécialités pharmaceutiques faisant objet d’un accès </w:t>
      </w:r>
      <w:r w:rsidR="00BC29A3">
        <w:rPr>
          <w:rFonts w:asciiTheme="minorHAnsi" w:hAnsiTheme="minorHAnsi"/>
          <w:sz w:val="22"/>
          <w:szCs w:val="22"/>
        </w:rPr>
        <w:t>rapide</w:t>
      </w:r>
      <w:r w:rsidRPr="10B14676">
        <w:rPr>
          <w:rFonts w:asciiTheme="minorHAnsi" w:hAnsiTheme="minorHAnsi"/>
          <w:sz w:val="22"/>
          <w:szCs w:val="22"/>
        </w:rPr>
        <w:t xml:space="preserve"> transfère une partie de son portefeuille vers une autre entreprise responsable pour des</w:t>
      </w:r>
      <w:r w:rsidR="00BC29A3">
        <w:rPr>
          <w:rFonts w:asciiTheme="minorHAnsi" w:hAnsiTheme="minorHAnsi"/>
          <w:sz w:val="22"/>
          <w:szCs w:val="22"/>
        </w:rPr>
        <w:t xml:space="preserve"> </w:t>
      </w:r>
      <w:r w:rsidRPr="10B14676">
        <w:rPr>
          <w:rFonts w:asciiTheme="minorHAnsi" w:hAnsiTheme="minorHAnsi"/>
          <w:sz w:val="22"/>
          <w:szCs w:val="22"/>
        </w:rPr>
        <w:t xml:space="preserve">spécialités pharmaceutiques faisant objet d’un accès </w:t>
      </w:r>
      <w:r w:rsidR="00BC29A3">
        <w:rPr>
          <w:rFonts w:asciiTheme="minorHAnsi" w:hAnsiTheme="minorHAnsi"/>
          <w:sz w:val="22"/>
          <w:szCs w:val="22"/>
        </w:rPr>
        <w:t>rapide</w:t>
      </w:r>
      <w:r w:rsidR="74C2A17F" w:rsidRPr="10B14676">
        <w:rPr>
          <w:rFonts w:asciiTheme="minorHAnsi" w:hAnsiTheme="minorHAnsi"/>
          <w:sz w:val="22"/>
          <w:szCs w:val="22"/>
        </w:rPr>
        <w:t>.</w:t>
      </w:r>
    </w:p>
    <w:p w14:paraId="10DB332F" w14:textId="59DAB708" w:rsidR="003945A5" w:rsidRDefault="003945A5" w:rsidP="00370EF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On entend par transfert de portefeuille, le transfert des responsabilités auprès de l’INAMI (conditions d’intervention, conditions de remboursement, mesures d’économies, taxes, …).</w:t>
      </w:r>
    </w:p>
    <w:p w14:paraId="2C5D454E" w14:textId="77777777" w:rsidR="000B3D51" w:rsidRPr="00370EF1" w:rsidRDefault="000B3D51" w:rsidP="00370EF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474972" w14:textId="77777777" w:rsidR="003945A5" w:rsidRPr="00370EF1" w:rsidRDefault="003945A5" w:rsidP="00370EF1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 xml:space="preserve">Nous faire parvenir un courrier par retour de mail sur </w:t>
      </w:r>
      <w:hyperlink r:id="rId8" w:history="1">
        <w:r w:rsidRPr="00370EF1">
          <w:rPr>
            <w:rStyle w:val="Hyperlink"/>
            <w:rFonts w:asciiTheme="minorHAnsi" w:hAnsiTheme="minorHAnsi" w:cstheme="minorHAnsi"/>
            <w:sz w:val="22"/>
            <w:szCs w:val="22"/>
          </w:rPr>
          <w:t>CTGCRM.database@riziv-inami.fgov.be</w:t>
        </w:r>
      </w:hyperlink>
      <w:r w:rsidRPr="00370EF1">
        <w:rPr>
          <w:rFonts w:asciiTheme="minorHAnsi" w:hAnsiTheme="minorHAnsi" w:cstheme="minorHAnsi"/>
          <w:sz w:val="22"/>
          <w:szCs w:val="22"/>
        </w:rPr>
        <w:t xml:space="preserve"> , signé par les différentes parties.</w:t>
      </w:r>
    </w:p>
    <w:p w14:paraId="7DD97D2B" w14:textId="77777777" w:rsidR="003945A5" w:rsidRPr="00370EF1" w:rsidRDefault="003945A5" w:rsidP="00370EF1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A3C3E6" w14:textId="77777777" w:rsidR="003945A5" w:rsidRPr="00370EF1" w:rsidRDefault="003945A5" w:rsidP="00370EF1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Dans ce courrier, nous devons avoir les informations suivantes :</w:t>
      </w:r>
    </w:p>
    <w:p w14:paraId="749F09F8" w14:textId="77777777" w:rsidR="003945A5" w:rsidRPr="00370EF1" w:rsidRDefault="003945A5" w:rsidP="00370EF1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b/>
          <w:sz w:val="22"/>
          <w:szCs w:val="22"/>
        </w:rPr>
        <w:t>Les noms</w:t>
      </w:r>
      <w:r w:rsidRPr="00370EF1">
        <w:rPr>
          <w:rFonts w:asciiTheme="minorHAnsi" w:hAnsiTheme="minorHAnsi" w:cstheme="minorHAnsi"/>
          <w:sz w:val="22"/>
          <w:szCs w:val="22"/>
        </w:rPr>
        <w:t xml:space="preserve"> des entreprises concernées </w:t>
      </w:r>
    </w:p>
    <w:p w14:paraId="144E70DF" w14:textId="77777777" w:rsidR="003945A5" w:rsidRPr="00370EF1" w:rsidRDefault="003945A5" w:rsidP="00370EF1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b/>
          <w:sz w:val="22"/>
          <w:szCs w:val="22"/>
        </w:rPr>
        <w:t>La date</w:t>
      </w:r>
      <w:r w:rsidRPr="00370EF1">
        <w:rPr>
          <w:rFonts w:asciiTheme="minorHAnsi" w:hAnsiTheme="minorHAnsi" w:cstheme="minorHAnsi"/>
          <w:sz w:val="22"/>
          <w:szCs w:val="22"/>
        </w:rPr>
        <w:t xml:space="preserve"> </w:t>
      </w:r>
      <w:r w:rsidRPr="00370EF1">
        <w:rPr>
          <w:rFonts w:asciiTheme="minorHAnsi" w:hAnsiTheme="minorHAnsi" w:cstheme="minorHAnsi"/>
          <w:b/>
          <w:sz w:val="22"/>
          <w:szCs w:val="22"/>
        </w:rPr>
        <w:t>de transfert</w:t>
      </w:r>
      <w:r w:rsidRPr="00370EF1">
        <w:rPr>
          <w:rFonts w:asciiTheme="minorHAnsi" w:hAnsiTheme="minorHAnsi" w:cstheme="minorHAnsi"/>
          <w:sz w:val="22"/>
          <w:szCs w:val="22"/>
        </w:rPr>
        <w:t xml:space="preserve"> de responsabilité auprès de l’INAMI</w:t>
      </w:r>
    </w:p>
    <w:p w14:paraId="204CE591" w14:textId="17283F3D" w:rsidR="003945A5" w:rsidRPr="00370EF1" w:rsidRDefault="003945A5" w:rsidP="00370EF1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 xml:space="preserve">Si ce transfert est aussi un transfert de titulaire d’autorisation de mise sur le marché (AMM), nous transmettre une copie des documents de l’AFMPS. Cela ne s’applique qu’aux médicaments </w:t>
      </w:r>
      <w:r w:rsidR="00F41FEF" w:rsidRPr="00370EF1">
        <w:rPr>
          <w:rFonts w:asciiTheme="minorHAnsi" w:hAnsiTheme="minorHAnsi" w:cstheme="minorHAnsi"/>
          <w:sz w:val="22"/>
          <w:szCs w:val="22"/>
        </w:rPr>
        <w:t xml:space="preserve">faisant objet </w:t>
      </w:r>
      <w:r w:rsidRPr="00370EF1">
        <w:rPr>
          <w:rFonts w:asciiTheme="minorHAnsi" w:hAnsiTheme="minorHAnsi" w:cstheme="minorHAnsi"/>
          <w:sz w:val="22"/>
          <w:szCs w:val="22"/>
        </w:rPr>
        <w:t>d’un accès précoce si ces médicaments n’ont pas encore d’AMM.</w:t>
      </w:r>
    </w:p>
    <w:p w14:paraId="410FBB40" w14:textId="77777777" w:rsidR="003945A5" w:rsidRPr="00370EF1" w:rsidRDefault="003945A5" w:rsidP="00370EF1">
      <w:pPr>
        <w:spacing w:after="0" w:line="240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Si le titulaire d’AMM est une autre entreprise, elle doit également signer le courrier et fournir une « </w:t>
      </w:r>
      <w:proofErr w:type="spellStart"/>
      <w:r w:rsidRPr="00370EF1">
        <w:rPr>
          <w:rFonts w:asciiTheme="minorHAnsi" w:hAnsiTheme="minorHAnsi" w:cstheme="minorHAnsi"/>
          <w:sz w:val="22"/>
          <w:szCs w:val="22"/>
        </w:rPr>
        <w:t>delegation</w:t>
      </w:r>
      <w:proofErr w:type="spellEnd"/>
      <w:r w:rsidRPr="00370EF1">
        <w:rPr>
          <w:rFonts w:asciiTheme="minorHAnsi" w:hAnsiTheme="minorHAnsi" w:cstheme="minorHAnsi"/>
          <w:sz w:val="22"/>
          <w:szCs w:val="22"/>
        </w:rPr>
        <w:t xml:space="preserve"> of power » vis-à-vis de l’entreprise responsable auprès de nos services.</w:t>
      </w:r>
    </w:p>
    <w:p w14:paraId="138F5C58" w14:textId="77777777" w:rsidR="003945A5" w:rsidRPr="00370EF1" w:rsidRDefault="003945A5" w:rsidP="00370EF1">
      <w:pPr>
        <w:pStyle w:val="ListParagraph"/>
        <w:spacing w:after="0" w:line="240" w:lineRule="auto"/>
        <w:ind w:left="11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D66A7D" w14:textId="7FF483D3" w:rsidR="003945A5" w:rsidRPr="00370EF1" w:rsidRDefault="003945A5" w:rsidP="28AD132C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28AD132C">
        <w:rPr>
          <w:rFonts w:asciiTheme="minorHAnsi" w:hAnsiTheme="minorHAnsi"/>
          <w:sz w:val="22"/>
          <w:szCs w:val="22"/>
        </w:rPr>
        <w:t xml:space="preserve">Si la nouvelle entreprise responsable n’est pas encore une firme connue de nos services, elle doit nous transmettre un formulaire d’engagement conformément à l’article </w:t>
      </w:r>
      <w:r w:rsidR="00D72726">
        <w:rPr>
          <w:rFonts w:asciiTheme="minorHAnsi" w:hAnsiTheme="minorHAnsi"/>
          <w:sz w:val="22"/>
          <w:szCs w:val="22"/>
        </w:rPr>
        <w:t>15, §1</w:t>
      </w:r>
      <w:r w:rsidRPr="28AD132C">
        <w:rPr>
          <w:rFonts w:asciiTheme="minorHAnsi" w:hAnsiTheme="minorHAnsi"/>
          <w:sz w:val="22"/>
          <w:szCs w:val="22"/>
        </w:rPr>
        <w:t xml:space="preserve"> de l’A</w:t>
      </w:r>
      <w:r w:rsidR="2E87D808" w:rsidRPr="28AD132C">
        <w:rPr>
          <w:rFonts w:asciiTheme="minorHAnsi" w:hAnsiTheme="minorHAnsi"/>
          <w:sz w:val="22"/>
          <w:szCs w:val="22"/>
        </w:rPr>
        <w:t>R</w:t>
      </w:r>
      <w:r w:rsidRPr="28AD132C">
        <w:rPr>
          <w:rFonts w:asciiTheme="minorHAnsi" w:hAnsiTheme="minorHAnsi"/>
          <w:sz w:val="22"/>
          <w:szCs w:val="22"/>
        </w:rPr>
        <w:t xml:space="preserve"> du </w:t>
      </w:r>
      <w:r w:rsidR="0E3C2648" w:rsidRPr="28AD132C">
        <w:rPr>
          <w:rFonts w:asciiTheme="minorHAnsi" w:hAnsiTheme="minorHAnsi"/>
          <w:sz w:val="22"/>
          <w:szCs w:val="22"/>
        </w:rPr>
        <w:t>1</w:t>
      </w:r>
      <w:r w:rsidR="00D72726">
        <w:rPr>
          <w:rFonts w:asciiTheme="minorHAnsi" w:hAnsiTheme="minorHAnsi"/>
          <w:sz w:val="22"/>
          <w:szCs w:val="22"/>
        </w:rPr>
        <w:t>4 février</w:t>
      </w:r>
      <w:r w:rsidR="0E3C2648" w:rsidRPr="28AD132C">
        <w:rPr>
          <w:rFonts w:asciiTheme="minorHAnsi" w:hAnsiTheme="minorHAnsi"/>
          <w:sz w:val="22"/>
          <w:szCs w:val="22"/>
        </w:rPr>
        <w:t xml:space="preserve"> </w:t>
      </w:r>
      <w:r w:rsidRPr="28AD132C">
        <w:rPr>
          <w:rFonts w:asciiTheme="minorHAnsi" w:hAnsiTheme="minorHAnsi"/>
          <w:sz w:val="22"/>
          <w:szCs w:val="22"/>
        </w:rPr>
        <w:t xml:space="preserve">2026. </w:t>
      </w:r>
    </w:p>
    <w:p w14:paraId="25C04B67" w14:textId="77777777" w:rsidR="003945A5" w:rsidRPr="00370EF1" w:rsidRDefault="003945A5" w:rsidP="00370EF1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1969FC" w14:textId="77777777" w:rsidR="003945A5" w:rsidRPr="00370EF1" w:rsidRDefault="003945A5" w:rsidP="00370EF1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Parallèlement à l’envoi de ce formulaire d’engagement, la nouvelle entreprise doit également réaliser les démarches afin d’avoir accès à nos applications web (ce point n’est pas d’application si c’est une entreprise qui a déjà les accès à nos applications web) :</w:t>
      </w:r>
    </w:p>
    <w:p w14:paraId="3303D1E6" w14:textId="77777777" w:rsidR="003945A5" w:rsidRPr="00370EF1" w:rsidRDefault="003945A5" w:rsidP="00370EF1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9826DE" w14:textId="1E1F5998" w:rsidR="003945A5" w:rsidRPr="00370EF1" w:rsidRDefault="003945A5" w:rsidP="00370EF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 xml:space="preserve">Avoir un </w:t>
      </w:r>
      <w:r w:rsidRPr="00370EF1">
        <w:rPr>
          <w:rFonts w:asciiTheme="minorHAnsi" w:hAnsiTheme="minorHAnsi" w:cstheme="minorHAnsi"/>
          <w:b/>
          <w:sz w:val="22"/>
          <w:szCs w:val="22"/>
        </w:rPr>
        <w:t xml:space="preserve">numéro </w:t>
      </w:r>
      <w:r w:rsidR="006E32D2">
        <w:rPr>
          <w:rFonts w:asciiTheme="minorHAnsi" w:hAnsiTheme="minorHAnsi" w:cstheme="minorHAnsi"/>
          <w:b/>
          <w:sz w:val="22"/>
          <w:szCs w:val="22"/>
        </w:rPr>
        <w:t>BCE</w:t>
      </w:r>
      <w:r w:rsidR="000472A5" w:rsidRPr="00370EF1">
        <w:rPr>
          <w:rFonts w:asciiTheme="minorHAnsi" w:hAnsiTheme="minorHAnsi" w:cstheme="minorHAnsi"/>
          <w:sz w:val="22"/>
          <w:szCs w:val="22"/>
        </w:rPr>
        <w:t xml:space="preserve"> </w:t>
      </w:r>
      <w:r w:rsidRPr="00370EF1">
        <w:rPr>
          <w:rFonts w:asciiTheme="minorHAnsi" w:hAnsiTheme="minorHAnsi" w:cstheme="minorHAnsi"/>
          <w:sz w:val="22"/>
          <w:szCs w:val="22"/>
        </w:rPr>
        <w:t xml:space="preserve">(qui est disponible sur le site de la banque carrefour) et nous le communiquer </w:t>
      </w:r>
    </w:p>
    <w:p w14:paraId="4C17E2F9" w14:textId="77777777" w:rsidR="003945A5" w:rsidRPr="00370EF1" w:rsidRDefault="003945A5" w:rsidP="00370EF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b/>
          <w:bCs/>
          <w:sz w:val="22"/>
          <w:szCs w:val="22"/>
        </w:rPr>
        <w:t>Désigner un gestionnaire principal d’accès</w:t>
      </w:r>
      <w:r w:rsidRPr="00370EF1">
        <w:rPr>
          <w:rFonts w:asciiTheme="minorHAnsi" w:hAnsiTheme="minorHAnsi" w:cstheme="minorHAnsi"/>
          <w:sz w:val="22"/>
          <w:szCs w:val="22"/>
        </w:rPr>
        <w:t xml:space="preserve"> (le plus souvent le ‘</w:t>
      </w:r>
      <w:proofErr w:type="spellStart"/>
      <w:r w:rsidRPr="00370EF1">
        <w:rPr>
          <w:rFonts w:asciiTheme="minorHAnsi" w:hAnsiTheme="minorHAnsi" w:cstheme="minorHAnsi"/>
          <w:sz w:val="22"/>
          <w:szCs w:val="22"/>
        </w:rPr>
        <w:t>general</w:t>
      </w:r>
      <w:proofErr w:type="spellEnd"/>
      <w:r w:rsidRPr="00370EF1">
        <w:rPr>
          <w:rFonts w:asciiTheme="minorHAnsi" w:hAnsiTheme="minorHAnsi" w:cstheme="minorHAnsi"/>
          <w:sz w:val="22"/>
          <w:szCs w:val="22"/>
        </w:rPr>
        <w:t xml:space="preserve"> manager’ ou une personne considérée comme représentant légal de la société dans ses statuts)</w:t>
      </w:r>
    </w:p>
    <w:p w14:paraId="4B6B3982" w14:textId="0749818A" w:rsidR="003945A5" w:rsidRPr="00370EF1" w:rsidRDefault="003945A5" w:rsidP="00370EF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 xml:space="preserve">Ce gestionnaire principal désigne ensuite les </w:t>
      </w:r>
      <w:r w:rsidRPr="00370EF1">
        <w:rPr>
          <w:rFonts w:asciiTheme="minorHAnsi" w:hAnsiTheme="minorHAnsi" w:cstheme="minorHAnsi"/>
          <w:b/>
          <w:bCs/>
          <w:sz w:val="22"/>
          <w:szCs w:val="22"/>
        </w:rPr>
        <w:t>utilisateurs</w:t>
      </w:r>
      <w:r w:rsidRPr="00370EF1">
        <w:rPr>
          <w:rFonts w:asciiTheme="minorHAnsi" w:hAnsiTheme="minorHAnsi" w:cstheme="minorHAnsi"/>
          <w:sz w:val="22"/>
          <w:szCs w:val="22"/>
        </w:rPr>
        <w:t xml:space="preserve"> ou personnes qui auront accès à nos applications (dossiers CAIT)  </w:t>
      </w:r>
    </w:p>
    <w:p w14:paraId="6B89FBE7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91B84B" w14:textId="4A227B93" w:rsidR="003945A5" w:rsidRPr="00370EF1" w:rsidRDefault="003945A5" w:rsidP="28AD132C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28AD132C">
        <w:rPr>
          <w:rFonts w:asciiTheme="minorHAnsi" w:hAnsiTheme="minorHAnsi"/>
          <w:sz w:val="22"/>
          <w:szCs w:val="22"/>
        </w:rPr>
        <w:t xml:space="preserve">Les deux </w:t>
      </w:r>
      <w:r w:rsidR="6C5D5211" w:rsidRPr="28AD132C">
        <w:rPr>
          <w:rFonts w:asciiTheme="minorHAnsi" w:hAnsiTheme="minorHAnsi"/>
          <w:sz w:val="22"/>
          <w:szCs w:val="22"/>
        </w:rPr>
        <w:t>étapes ci</w:t>
      </w:r>
      <w:r w:rsidRPr="28AD132C">
        <w:rPr>
          <w:rFonts w:asciiTheme="minorHAnsi" w:hAnsiTheme="minorHAnsi"/>
          <w:sz w:val="22"/>
          <w:szCs w:val="22"/>
        </w:rPr>
        <w:t xml:space="preserve">-dessus b) et c) se font via le site du CSAM (sécurité sociale), site auquel nous n’avons aucun accès et aucun contact donc en cas de problème c’est avec </w:t>
      </w:r>
      <w:r w:rsidR="07CF1F54" w:rsidRPr="28AD132C">
        <w:rPr>
          <w:rFonts w:asciiTheme="minorHAnsi" w:hAnsiTheme="minorHAnsi"/>
          <w:sz w:val="22"/>
          <w:szCs w:val="22"/>
        </w:rPr>
        <w:t>l'helpdesk</w:t>
      </w:r>
      <w:r w:rsidRPr="28AD132C">
        <w:rPr>
          <w:rFonts w:asciiTheme="minorHAnsi" w:hAnsiTheme="minorHAnsi"/>
          <w:sz w:val="22"/>
          <w:szCs w:val="22"/>
        </w:rPr>
        <w:t xml:space="preserve"> du CSAM</w:t>
      </w:r>
      <w:r w:rsidR="58F3575C" w:rsidRPr="28AD132C">
        <w:rPr>
          <w:rFonts w:asciiTheme="minorHAnsi" w:hAnsiTheme="minorHAnsi"/>
          <w:sz w:val="22"/>
          <w:szCs w:val="22"/>
        </w:rPr>
        <w:t xml:space="preserve"> </w:t>
      </w:r>
      <w:r w:rsidRPr="28AD132C">
        <w:rPr>
          <w:rFonts w:asciiTheme="minorHAnsi" w:hAnsiTheme="minorHAnsi"/>
          <w:sz w:val="22"/>
          <w:szCs w:val="22"/>
        </w:rPr>
        <w:t>(</w:t>
      </w:r>
      <w:hyperlink r:id="rId9">
        <w:r w:rsidRPr="28AD132C">
          <w:rPr>
            <w:rFonts w:asciiTheme="minorHAnsi" w:hAnsiTheme="minorHAnsi"/>
            <w:sz w:val="22"/>
            <w:szCs w:val="22"/>
            <w:u w:val="single"/>
            <w:lang w:val="fr-FR"/>
          </w:rPr>
          <w:t>info@csam.be</w:t>
        </w:r>
      </w:hyperlink>
      <w:r w:rsidRPr="28AD132C">
        <w:rPr>
          <w:rFonts w:asciiTheme="minorHAnsi" w:hAnsiTheme="minorHAnsi"/>
          <w:sz w:val="22"/>
          <w:szCs w:val="22"/>
          <w:lang w:val="fr-FR"/>
        </w:rPr>
        <w:t xml:space="preserve">) </w:t>
      </w:r>
      <w:r w:rsidRPr="28AD132C">
        <w:rPr>
          <w:rFonts w:asciiTheme="minorHAnsi" w:hAnsiTheme="minorHAnsi"/>
          <w:sz w:val="22"/>
          <w:szCs w:val="22"/>
        </w:rPr>
        <w:t>que les entreprises doivent prendre contact.</w:t>
      </w:r>
    </w:p>
    <w:p w14:paraId="1C57D3F7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6B5F7A" w14:textId="77777777" w:rsidR="003945A5" w:rsidRPr="00370EF1" w:rsidRDefault="003945A5" w:rsidP="00370EF1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La plateforme du CSAM et nos applications web sont 2 plateformes distinctes et il n’y a aucun échange de données entre ces 2 entités. Le lien est uniquement réalisé sur base du numéro BCE. Attention donc s’il y a une erreur dans le numéro que la firme nous transmet et les démarches réalisées au CSAM.</w:t>
      </w:r>
    </w:p>
    <w:p w14:paraId="623AC6BA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E6ADB5" w14:textId="77777777" w:rsidR="003945A5" w:rsidRPr="00370EF1" w:rsidRDefault="003945A5" w:rsidP="00370EF1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Remarque importante également, quand la personne désignée par le gestionnaire principal d’accès ne fait plus partie de l’entreprise en question, c’est à l’entreprise à faire le nécessaire au niveau du CSAM afin de lui retirer les accès à nos applications web et à adapter ses données dans nos applications web.</w:t>
      </w:r>
    </w:p>
    <w:p w14:paraId="43A2ADF4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F84221" w14:textId="77777777" w:rsidR="003945A5" w:rsidRPr="00370EF1" w:rsidRDefault="003945A5" w:rsidP="00370EF1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En cas de changement du gestionnaire principal d’accès, c’est la personne qui exercera la nouvelle fonction qui devra prendre contact avec le CSAM afin d’adapter les données.</w:t>
      </w:r>
    </w:p>
    <w:p w14:paraId="190DD9B0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364E56B" w14:textId="77777777" w:rsidR="003945A5" w:rsidRPr="00370EF1" w:rsidRDefault="003945A5" w:rsidP="00370EF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Chaque entreprise étant responsable de la gestion de ses personnes de contact via nos applications web (nous n’avons plus accès à cette gestion), dès que les démarches ci-dessus sont finalisées, elles doivent mettre à jour ces données.</w:t>
      </w:r>
    </w:p>
    <w:p w14:paraId="10C2015B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BABE78" w14:textId="3E9CA6D8" w:rsidR="003945A5" w:rsidRPr="00370EF1" w:rsidRDefault="003945A5" w:rsidP="28AD132C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28AD132C">
        <w:rPr>
          <w:rFonts w:asciiTheme="minorHAnsi" w:hAnsiTheme="minorHAnsi"/>
          <w:sz w:val="22"/>
          <w:szCs w:val="22"/>
        </w:rPr>
        <w:t>Si malheureusement, le transfert de portefeuille concerne des</w:t>
      </w:r>
      <w:r w:rsidR="00BC29A3">
        <w:rPr>
          <w:rFonts w:asciiTheme="minorHAnsi" w:hAnsiTheme="minorHAnsi"/>
          <w:sz w:val="22"/>
          <w:szCs w:val="22"/>
        </w:rPr>
        <w:t xml:space="preserve"> </w:t>
      </w:r>
      <w:r w:rsidRPr="28AD132C">
        <w:rPr>
          <w:rFonts w:asciiTheme="minorHAnsi" w:hAnsiTheme="minorHAnsi"/>
          <w:sz w:val="22"/>
          <w:szCs w:val="22"/>
        </w:rPr>
        <w:t xml:space="preserve">spécialités pharmaceutiques faisant objet d’un accès </w:t>
      </w:r>
      <w:r w:rsidR="00BC29A3">
        <w:rPr>
          <w:rFonts w:asciiTheme="minorHAnsi" w:hAnsiTheme="minorHAnsi"/>
          <w:sz w:val="22"/>
          <w:szCs w:val="22"/>
        </w:rPr>
        <w:t>rapide</w:t>
      </w:r>
      <w:r w:rsidRPr="28AD132C">
        <w:rPr>
          <w:rFonts w:asciiTheme="minorHAnsi" w:hAnsiTheme="minorHAnsi"/>
          <w:sz w:val="22"/>
          <w:szCs w:val="22"/>
        </w:rPr>
        <w:t xml:space="preserve"> avec des demandes en cours de procédure à la CAIT et que l’entreprise n’a pas encore accès à nos applications web (firme étrangère), elle devra nous communiquer </w:t>
      </w:r>
      <w:r w:rsidRPr="28AD132C">
        <w:rPr>
          <w:rFonts w:asciiTheme="minorHAnsi" w:hAnsiTheme="minorHAnsi"/>
          <w:b/>
          <w:bCs/>
          <w:sz w:val="22"/>
          <w:szCs w:val="22"/>
        </w:rPr>
        <w:t xml:space="preserve">une </w:t>
      </w:r>
      <w:r w:rsidRPr="28AD132C">
        <w:rPr>
          <w:rFonts w:asciiTheme="minorHAnsi" w:hAnsiTheme="minorHAnsi"/>
          <w:sz w:val="22"/>
          <w:szCs w:val="22"/>
        </w:rPr>
        <w:t>personne de contact à qui ces dossiers seront attribués.</w:t>
      </w:r>
    </w:p>
    <w:p w14:paraId="002A0D90" w14:textId="77777777" w:rsidR="003945A5" w:rsidRPr="00370EF1" w:rsidRDefault="003945A5" w:rsidP="00370EF1">
      <w:pPr>
        <w:pStyle w:val="ListParagraph"/>
        <w:spacing w:after="0" w:line="240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Dans ces cas exceptionnels nous pouvons solliciter l’aide de notre IT afin qu’une personne de contact soit ajoutée à la firme</w:t>
      </w:r>
    </w:p>
    <w:p w14:paraId="175CD939" w14:textId="77777777" w:rsidR="002E3895" w:rsidRDefault="002E3895" w:rsidP="00370EF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013530" w14:textId="03A2615A" w:rsidR="0015352A" w:rsidRPr="000B3D51" w:rsidRDefault="003945A5" w:rsidP="000B3D5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De plus amples informations sur les différentes procédures sont disponibles pour les firmes sur notre site web.</w:t>
      </w:r>
    </w:p>
    <w:sectPr w:rsidR="0015352A" w:rsidRPr="000B3D51" w:rsidSect="00E948A5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C83A" w14:textId="77777777" w:rsidR="0010413E" w:rsidRDefault="0010413E" w:rsidP="0010413E">
      <w:pPr>
        <w:spacing w:after="0" w:line="240" w:lineRule="auto"/>
      </w:pPr>
      <w:r>
        <w:separator/>
      </w:r>
    </w:p>
  </w:endnote>
  <w:endnote w:type="continuationSeparator" w:id="0">
    <w:p w14:paraId="37446810" w14:textId="77777777" w:rsidR="0010413E" w:rsidRDefault="0010413E" w:rsidP="0010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07"/>
      <w:gridCol w:w="7733"/>
    </w:tblGrid>
    <w:tr w:rsidR="0010413E" w:rsidRPr="0010413E" w14:paraId="1F19C5F9" w14:textId="77777777" w:rsidTr="28AD132C">
      <w:tc>
        <w:tcPr>
          <w:tcW w:w="907" w:type="dxa"/>
          <w:tcBorders>
            <w:top w:val="single" w:sz="18" w:space="0" w:color="808080" w:themeColor="background1" w:themeShade="80"/>
            <w:left w:val="nil"/>
            <w:bottom w:val="nil"/>
            <w:right w:val="single" w:sz="18" w:space="0" w:color="808080" w:themeColor="background1" w:themeShade="80"/>
          </w:tcBorders>
          <w:hideMark/>
        </w:tcPr>
        <w:p w14:paraId="3F0400BE" w14:textId="77777777" w:rsidR="0010413E" w:rsidRPr="0010413E" w:rsidRDefault="0010413E" w:rsidP="0010413E">
          <w:pPr>
            <w:pStyle w:val="Footer"/>
            <w:rPr>
              <w:b/>
              <w:bCs/>
            </w:rPr>
          </w:pPr>
          <w:r w:rsidRPr="0010413E">
            <w:fldChar w:fldCharType="begin"/>
          </w:r>
          <w:r w:rsidRPr="0010413E">
            <w:instrText xml:space="preserve"> PAGE   \* MERGEFORMAT </w:instrText>
          </w:r>
          <w:r w:rsidRPr="0010413E">
            <w:fldChar w:fldCharType="separate"/>
          </w:r>
          <w:r w:rsidRPr="0010413E">
            <w:rPr>
              <w:b/>
              <w:bCs/>
            </w:rPr>
            <w:t>3</w:t>
          </w:r>
          <w:r w:rsidRPr="0010413E">
            <w:fldChar w:fldCharType="end"/>
          </w:r>
        </w:p>
      </w:tc>
      <w:tc>
        <w:tcPr>
          <w:tcW w:w="7733" w:type="dxa"/>
          <w:tcBorders>
            <w:top w:val="single" w:sz="18" w:space="0" w:color="808080" w:themeColor="background1" w:themeShade="80"/>
            <w:left w:val="single" w:sz="18" w:space="0" w:color="808080" w:themeColor="background1" w:themeShade="80"/>
            <w:bottom w:val="nil"/>
            <w:right w:val="nil"/>
          </w:tcBorders>
        </w:tcPr>
        <w:p w14:paraId="179D545D" w14:textId="14BB0AB2" w:rsidR="0010413E" w:rsidRDefault="28AD132C" w:rsidP="0010413E">
          <w:pPr>
            <w:pStyle w:val="Footer"/>
            <w:jc w:val="both"/>
            <w:rPr>
              <w:sz w:val="16"/>
              <w:szCs w:val="16"/>
              <w:u w:val="single"/>
            </w:rPr>
          </w:pPr>
          <w:r w:rsidRPr="28AD132C">
            <w:rPr>
              <w:sz w:val="16"/>
              <w:szCs w:val="16"/>
            </w:rPr>
            <w:t xml:space="preserve">Procédure pour le transfert du portefeuille dans le cadre d’un accès </w:t>
          </w:r>
          <w:r w:rsidR="00BC29A3">
            <w:rPr>
              <w:sz w:val="16"/>
              <w:szCs w:val="16"/>
            </w:rPr>
            <w:t>rapide</w:t>
          </w:r>
          <w:r w:rsidRPr="28AD132C">
            <w:rPr>
              <w:sz w:val="16"/>
              <w:szCs w:val="16"/>
            </w:rPr>
            <w:t xml:space="preserve"> – v1.1</w:t>
          </w:r>
        </w:p>
        <w:p w14:paraId="09BA3760" w14:textId="77777777" w:rsidR="0010413E" w:rsidRPr="0010413E" w:rsidRDefault="0010413E" w:rsidP="0010413E">
          <w:pPr>
            <w:pStyle w:val="Footer"/>
            <w:jc w:val="both"/>
            <w:rPr>
              <w:sz w:val="16"/>
              <w:szCs w:val="16"/>
            </w:rPr>
          </w:pPr>
          <w:r w:rsidRPr="0010413E">
            <w:rPr>
              <w:sz w:val="16"/>
              <w:szCs w:val="16"/>
            </w:rPr>
            <w:t>INAMI – Service des Soins de Santé – Direction Politique Pharmaceutique</w:t>
          </w:r>
        </w:p>
        <w:p w14:paraId="47EB0B35" w14:textId="77777777" w:rsidR="0010413E" w:rsidRPr="0010413E" w:rsidRDefault="0010413E" w:rsidP="0010413E">
          <w:pPr>
            <w:pStyle w:val="Footer"/>
          </w:pPr>
        </w:p>
      </w:tc>
    </w:tr>
  </w:tbl>
  <w:p w14:paraId="78389CB0" w14:textId="2666A861" w:rsidR="0010413E" w:rsidRDefault="0010413E">
    <w:pPr>
      <w:pStyle w:val="Footer"/>
    </w:pPr>
  </w:p>
  <w:p w14:paraId="058248F3" w14:textId="77777777" w:rsidR="0010413E" w:rsidRDefault="00104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DB96" w14:textId="77777777" w:rsidR="0010413E" w:rsidRDefault="0010413E" w:rsidP="0010413E">
      <w:pPr>
        <w:spacing w:after="0" w:line="240" w:lineRule="auto"/>
      </w:pPr>
      <w:r>
        <w:separator/>
      </w:r>
    </w:p>
  </w:footnote>
  <w:footnote w:type="continuationSeparator" w:id="0">
    <w:p w14:paraId="087A944D" w14:textId="77777777" w:rsidR="0010413E" w:rsidRDefault="0010413E" w:rsidP="00104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8AD132C" w14:paraId="28D0620E" w14:textId="77777777" w:rsidTr="28AD132C">
      <w:trPr>
        <w:trHeight w:val="300"/>
      </w:trPr>
      <w:tc>
        <w:tcPr>
          <w:tcW w:w="2880" w:type="dxa"/>
        </w:tcPr>
        <w:p w14:paraId="0ECE99E0" w14:textId="3C071831" w:rsidR="28AD132C" w:rsidRDefault="28AD132C" w:rsidP="28AD132C">
          <w:pPr>
            <w:pStyle w:val="Header"/>
            <w:ind w:left="-115"/>
          </w:pPr>
        </w:p>
      </w:tc>
      <w:tc>
        <w:tcPr>
          <w:tcW w:w="2880" w:type="dxa"/>
        </w:tcPr>
        <w:p w14:paraId="3B643C30" w14:textId="0B585D7F" w:rsidR="28AD132C" w:rsidRDefault="28AD132C" w:rsidP="28AD132C">
          <w:pPr>
            <w:pStyle w:val="Header"/>
            <w:jc w:val="center"/>
          </w:pPr>
        </w:p>
      </w:tc>
      <w:tc>
        <w:tcPr>
          <w:tcW w:w="2880" w:type="dxa"/>
        </w:tcPr>
        <w:p w14:paraId="62072261" w14:textId="1795B259" w:rsidR="28AD132C" w:rsidRDefault="28AD132C" w:rsidP="28AD132C">
          <w:pPr>
            <w:pStyle w:val="Header"/>
            <w:ind w:right="-115"/>
            <w:jc w:val="right"/>
          </w:pPr>
        </w:p>
      </w:tc>
    </w:tr>
  </w:tbl>
  <w:p w14:paraId="3E1EFE7B" w14:textId="2F541D0B" w:rsidR="28AD132C" w:rsidRDefault="28AD132C" w:rsidP="28AD1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CE"/>
    <w:multiLevelType w:val="multilevel"/>
    <w:tmpl w:val="3068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8A9"/>
    <w:multiLevelType w:val="multilevel"/>
    <w:tmpl w:val="D7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7365"/>
    <w:multiLevelType w:val="hybridMultilevel"/>
    <w:tmpl w:val="280A7D76"/>
    <w:lvl w:ilvl="0" w:tplc="6052B4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2151"/>
    <w:multiLevelType w:val="multilevel"/>
    <w:tmpl w:val="CB1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75C83"/>
    <w:multiLevelType w:val="hybridMultilevel"/>
    <w:tmpl w:val="F92EF882"/>
    <w:lvl w:ilvl="0" w:tplc="73FC0A0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5E0C"/>
    <w:multiLevelType w:val="multilevel"/>
    <w:tmpl w:val="918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283E"/>
    <w:multiLevelType w:val="multilevel"/>
    <w:tmpl w:val="09AC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59DA"/>
    <w:multiLevelType w:val="hybridMultilevel"/>
    <w:tmpl w:val="FCF4AD9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BAF"/>
    <w:multiLevelType w:val="hybridMultilevel"/>
    <w:tmpl w:val="B28A0E70"/>
    <w:lvl w:ilvl="0" w:tplc="2822E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775F3"/>
    <w:multiLevelType w:val="hybridMultilevel"/>
    <w:tmpl w:val="237A8110"/>
    <w:lvl w:ilvl="0" w:tplc="5EE29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D277DA"/>
    <w:multiLevelType w:val="hybridMultilevel"/>
    <w:tmpl w:val="AA643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94087"/>
    <w:multiLevelType w:val="hybridMultilevel"/>
    <w:tmpl w:val="6C185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D1496"/>
    <w:multiLevelType w:val="multilevel"/>
    <w:tmpl w:val="D298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508B7"/>
    <w:multiLevelType w:val="multilevel"/>
    <w:tmpl w:val="F86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96FC6"/>
    <w:multiLevelType w:val="hybridMultilevel"/>
    <w:tmpl w:val="FCF4AD9A"/>
    <w:lvl w:ilvl="0" w:tplc="FD52C728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71094"/>
    <w:multiLevelType w:val="hybridMultilevel"/>
    <w:tmpl w:val="ED22F7C2"/>
    <w:lvl w:ilvl="0" w:tplc="7DB88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653ED"/>
    <w:multiLevelType w:val="hybridMultilevel"/>
    <w:tmpl w:val="ED52F1FC"/>
    <w:lvl w:ilvl="0" w:tplc="72268A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2805"/>
    <w:multiLevelType w:val="multilevel"/>
    <w:tmpl w:val="0DE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82415"/>
    <w:multiLevelType w:val="hybridMultilevel"/>
    <w:tmpl w:val="0180E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A4A0F"/>
    <w:multiLevelType w:val="hybridMultilevel"/>
    <w:tmpl w:val="AA227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D756F"/>
    <w:multiLevelType w:val="hybridMultilevel"/>
    <w:tmpl w:val="A4E0D498"/>
    <w:lvl w:ilvl="0" w:tplc="3C84DC50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7446"/>
    <w:multiLevelType w:val="hybridMultilevel"/>
    <w:tmpl w:val="D8C6AC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310A"/>
    <w:multiLevelType w:val="hybridMultilevel"/>
    <w:tmpl w:val="16EA742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331E"/>
    <w:multiLevelType w:val="multilevel"/>
    <w:tmpl w:val="86B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43177"/>
    <w:multiLevelType w:val="multilevel"/>
    <w:tmpl w:val="D8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4510E"/>
    <w:multiLevelType w:val="hybridMultilevel"/>
    <w:tmpl w:val="B2281888"/>
    <w:lvl w:ilvl="0" w:tplc="6C8CBE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DDA7263"/>
    <w:multiLevelType w:val="multilevel"/>
    <w:tmpl w:val="0D1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C6105"/>
    <w:multiLevelType w:val="hybridMultilevel"/>
    <w:tmpl w:val="C9425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36AAC"/>
    <w:multiLevelType w:val="hybridMultilevel"/>
    <w:tmpl w:val="0310B4AE"/>
    <w:lvl w:ilvl="0" w:tplc="EF10D7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5657"/>
    <w:multiLevelType w:val="multilevel"/>
    <w:tmpl w:val="10E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D09DE"/>
    <w:multiLevelType w:val="multilevel"/>
    <w:tmpl w:val="972E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93B8F"/>
    <w:multiLevelType w:val="hybridMultilevel"/>
    <w:tmpl w:val="C6D43594"/>
    <w:lvl w:ilvl="0" w:tplc="CCEE6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654"/>
    <w:multiLevelType w:val="hybridMultilevel"/>
    <w:tmpl w:val="AABA450E"/>
    <w:lvl w:ilvl="0" w:tplc="C5D4D570">
      <w:numFmt w:val="bullet"/>
      <w:lvlText w:val=""/>
      <w:lvlJc w:val="left"/>
      <w:pPr>
        <w:ind w:left="708" w:hanging="360"/>
      </w:pPr>
      <w:rPr>
        <w:rFonts w:ascii="Wingdings" w:eastAsiaTheme="minorHAnsi" w:hAnsi="Wingdings" w:cstheme="minorBidi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84633353">
    <w:abstractNumId w:val="6"/>
  </w:num>
  <w:num w:numId="2" w16cid:durableId="1034620021">
    <w:abstractNumId w:val="12"/>
  </w:num>
  <w:num w:numId="3" w16cid:durableId="1324625063">
    <w:abstractNumId w:val="18"/>
  </w:num>
  <w:num w:numId="4" w16cid:durableId="2041782137">
    <w:abstractNumId w:val="11"/>
  </w:num>
  <w:num w:numId="5" w16cid:durableId="1697192839">
    <w:abstractNumId w:val="21"/>
  </w:num>
  <w:num w:numId="6" w16cid:durableId="1357120110">
    <w:abstractNumId w:val="32"/>
  </w:num>
  <w:num w:numId="7" w16cid:durableId="1609198174">
    <w:abstractNumId w:val="30"/>
  </w:num>
  <w:num w:numId="8" w16cid:durableId="1858273534">
    <w:abstractNumId w:val="15"/>
  </w:num>
  <w:num w:numId="9" w16cid:durableId="5645089">
    <w:abstractNumId w:val="0"/>
  </w:num>
  <w:num w:numId="10" w16cid:durableId="2005863835">
    <w:abstractNumId w:val="5"/>
  </w:num>
  <w:num w:numId="11" w16cid:durableId="466817423">
    <w:abstractNumId w:val="13"/>
  </w:num>
  <w:num w:numId="12" w16cid:durableId="1971546563">
    <w:abstractNumId w:val="26"/>
  </w:num>
  <w:num w:numId="13" w16cid:durableId="2037848135">
    <w:abstractNumId w:val="17"/>
  </w:num>
  <w:num w:numId="14" w16cid:durableId="1098252647">
    <w:abstractNumId w:val="3"/>
  </w:num>
  <w:num w:numId="15" w16cid:durableId="1543906003">
    <w:abstractNumId w:val="1"/>
  </w:num>
  <w:num w:numId="16" w16cid:durableId="762267427">
    <w:abstractNumId w:val="31"/>
  </w:num>
  <w:num w:numId="17" w16cid:durableId="803694544">
    <w:abstractNumId w:val="27"/>
  </w:num>
  <w:num w:numId="18" w16cid:durableId="1300305541">
    <w:abstractNumId w:val="10"/>
  </w:num>
  <w:num w:numId="19" w16cid:durableId="411857118">
    <w:abstractNumId w:val="16"/>
  </w:num>
  <w:num w:numId="20" w16cid:durableId="1610119730">
    <w:abstractNumId w:val="22"/>
  </w:num>
  <w:num w:numId="21" w16cid:durableId="235944692">
    <w:abstractNumId w:val="25"/>
  </w:num>
  <w:num w:numId="22" w16cid:durableId="1623414387">
    <w:abstractNumId w:val="9"/>
  </w:num>
  <w:num w:numId="23" w16cid:durableId="629826283">
    <w:abstractNumId w:val="4"/>
  </w:num>
  <w:num w:numId="24" w16cid:durableId="550727806">
    <w:abstractNumId w:val="24"/>
  </w:num>
  <w:num w:numId="25" w16cid:durableId="717822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4691752">
    <w:abstractNumId w:val="29"/>
  </w:num>
  <w:num w:numId="27" w16cid:durableId="921447516">
    <w:abstractNumId w:val="19"/>
  </w:num>
  <w:num w:numId="28" w16cid:durableId="1143235667">
    <w:abstractNumId w:val="14"/>
  </w:num>
  <w:num w:numId="29" w16cid:durableId="943463381">
    <w:abstractNumId w:val="7"/>
  </w:num>
  <w:num w:numId="30" w16cid:durableId="1176992416">
    <w:abstractNumId w:val="8"/>
  </w:num>
  <w:num w:numId="31" w16cid:durableId="618996844">
    <w:abstractNumId w:val="23"/>
  </w:num>
  <w:num w:numId="32" w16cid:durableId="990476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2221684">
    <w:abstractNumId w:val="2"/>
  </w:num>
  <w:num w:numId="34" w16cid:durableId="53962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78"/>
    <w:rsid w:val="00002595"/>
    <w:rsid w:val="00010C69"/>
    <w:rsid w:val="00013EEB"/>
    <w:rsid w:val="000472A5"/>
    <w:rsid w:val="0007152B"/>
    <w:rsid w:val="000747BD"/>
    <w:rsid w:val="000816AB"/>
    <w:rsid w:val="00087CEA"/>
    <w:rsid w:val="000B3D51"/>
    <w:rsid w:val="000C2F24"/>
    <w:rsid w:val="000D505C"/>
    <w:rsid w:val="000E0EB2"/>
    <w:rsid w:val="000E7B68"/>
    <w:rsid w:val="00102037"/>
    <w:rsid w:val="00103799"/>
    <w:rsid w:val="0010413E"/>
    <w:rsid w:val="001116DA"/>
    <w:rsid w:val="00126BFD"/>
    <w:rsid w:val="00127A9A"/>
    <w:rsid w:val="00132755"/>
    <w:rsid w:val="0015352A"/>
    <w:rsid w:val="0015574A"/>
    <w:rsid w:val="0019478A"/>
    <w:rsid w:val="00197AED"/>
    <w:rsid w:val="001D4659"/>
    <w:rsid w:val="00221675"/>
    <w:rsid w:val="0022495A"/>
    <w:rsid w:val="0024179A"/>
    <w:rsid w:val="00272078"/>
    <w:rsid w:val="0029422A"/>
    <w:rsid w:val="002A12C0"/>
    <w:rsid w:val="002A3452"/>
    <w:rsid w:val="002A4C01"/>
    <w:rsid w:val="002B0F6F"/>
    <w:rsid w:val="002B68F4"/>
    <w:rsid w:val="002C17AC"/>
    <w:rsid w:val="002E3895"/>
    <w:rsid w:val="002F5D71"/>
    <w:rsid w:val="002F696B"/>
    <w:rsid w:val="00357C78"/>
    <w:rsid w:val="00367267"/>
    <w:rsid w:val="00370EF1"/>
    <w:rsid w:val="00393F7E"/>
    <w:rsid w:val="003945A5"/>
    <w:rsid w:val="003B6F05"/>
    <w:rsid w:val="003C68B9"/>
    <w:rsid w:val="003F490F"/>
    <w:rsid w:val="004216A8"/>
    <w:rsid w:val="00444FFB"/>
    <w:rsid w:val="00452182"/>
    <w:rsid w:val="00452496"/>
    <w:rsid w:val="00470C88"/>
    <w:rsid w:val="004962DD"/>
    <w:rsid w:val="00497524"/>
    <w:rsid w:val="004A3618"/>
    <w:rsid w:val="004A39DF"/>
    <w:rsid w:val="004D4E27"/>
    <w:rsid w:val="004E3020"/>
    <w:rsid w:val="004E7E17"/>
    <w:rsid w:val="004F2F06"/>
    <w:rsid w:val="005064A7"/>
    <w:rsid w:val="0051000A"/>
    <w:rsid w:val="00510F44"/>
    <w:rsid w:val="00512159"/>
    <w:rsid w:val="00513050"/>
    <w:rsid w:val="00513D85"/>
    <w:rsid w:val="0051590F"/>
    <w:rsid w:val="00543F2A"/>
    <w:rsid w:val="00544A22"/>
    <w:rsid w:val="00553166"/>
    <w:rsid w:val="005534E9"/>
    <w:rsid w:val="00554D4E"/>
    <w:rsid w:val="00564F33"/>
    <w:rsid w:val="00566739"/>
    <w:rsid w:val="005B0209"/>
    <w:rsid w:val="005B6FFE"/>
    <w:rsid w:val="005D4E71"/>
    <w:rsid w:val="005E168F"/>
    <w:rsid w:val="005E2404"/>
    <w:rsid w:val="005E49EF"/>
    <w:rsid w:val="005F0247"/>
    <w:rsid w:val="005F1F53"/>
    <w:rsid w:val="005F45E5"/>
    <w:rsid w:val="00610938"/>
    <w:rsid w:val="00616FBB"/>
    <w:rsid w:val="00643B51"/>
    <w:rsid w:val="00676B41"/>
    <w:rsid w:val="006867DB"/>
    <w:rsid w:val="006D15A6"/>
    <w:rsid w:val="006E32D2"/>
    <w:rsid w:val="006E6956"/>
    <w:rsid w:val="006F2971"/>
    <w:rsid w:val="006F5C2F"/>
    <w:rsid w:val="006F5D60"/>
    <w:rsid w:val="00701B68"/>
    <w:rsid w:val="007460BF"/>
    <w:rsid w:val="007529B9"/>
    <w:rsid w:val="00757ABE"/>
    <w:rsid w:val="00782A1F"/>
    <w:rsid w:val="00794592"/>
    <w:rsid w:val="00796B1C"/>
    <w:rsid w:val="007B4BD5"/>
    <w:rsid w:val="007C10BE"/>
    <w:rsid w:val="007C2B8F"/>
    <w:rsid w:val="007D3D57"/>
    <w:rsid w:val="007F1202"/>
    <w:rsid w:val="00816658"/>
    <w:rsid w:val="00835BF4"/>
    <w:rsid w:val="00844F9B"/>
    <w:rsid w:val="00846DAB"/>
    <w:rsid w:val="00851F28"/>
    <w:rsid w:val="00870835"/>
    <w:rsid w:val="008827CC"/>
    <w:rsid w:val="00894207"/>
    <w:rsid w:val="00894E78"/>
    <w:rsid w:val="008A20FB"/>
    <w:rsid w:val="008A5096"/>
    <w:rsid w:val="008C2E8F"/>
    <w:rsid w:val="00900275"/>
    <w:rsid w:val="0091393C"/>
    <w:rsid w:val="00954EB0"/>
    <w:rsid w:val="009672A8"/>
    <w:rsid w:val="00972F1B"/>
    <w:rsid w:val="00973EB7"/>
    <w:rsid w:val="009745A1"/>
    <w:rsid w:val="00977B0A"/>
    <w:rsid w:val="009839EC"/>
    <w:rsid w:val="009902CD"/>
    <w:rsid w:val="009A1EDC"/>
    <w:rsid w:val="009C611F"/>
    <w:rsid w:val="009F6515"/>
    <w:rsid w:val="00A020BE"/>
    <w:rsid w:val="00A025CF"/>
    <w:rsid w:val="00A11A16"/>
    <w:rsid w:val="00A137EF"/>
    <w:rsid w:val="00A14799"/>
    <w:rsid w:val="00A147CF"/>
    <w:rsid w:val="00A265B1"/>
    <w:rsid w:val="00A32644"/>
    <w:rsid w:val="00A46E32"/>
    <w:rsid w:val="00A52B23"/>
    <w:rsid w:val="00A83F18"/>
    <w:rsid w:val="00A930F1"/>
    <w:rsid w:val="00AA318D"/>
    <w:rsid w:val="00AB4430"/>
    <w:rsid w:val="00AB558C"/>
    <w:rsid w:val="00AC24FF"/>
    <w:rsid w:val="00AD6BF0"/>
    <w:rsid w:val="00AE4DDE"/>
    <w:rsid w:val="00B04310"/>
    <w:rsid w:val="00B2792D"/>
    <w:rsid w:val="00B93E34"/>
    <w:rsid w:val="00BA381E"/>
    <w:rsid w:val="00BA6D6B"/>
    <w:rsid w:val="00BA71B7"/>
    <w:rsid w:val="00BA7D94"/>
    <w:rsid w:val="00BB79D0"/>
    <w:rsid w:val="00BC29A3"/>
    <w:rsid w:val="00BC4C08"/>
    <w:rsid w:val="00BD1757"/>
    <w:rsid w:val="00BD1F66"/>
    <w:rsid w:val="00BE47FF"/>
    <w:rsid w:val="00BF6C2A"/>
    <w:rsid w:val="00C0391D"/>
    <w:rsid w:val="00C164D9"/>
    <w:rsid w:val="00C20E13"/>
    <w:rsid w:val="00C3310D"/>
    <w:rsid w:val="00C453A6"/>
    <w:rsid w:val="00C56964"/>
    <w:rsid w:val="00C57723"/>
    <w:rsid w:val="00C93591"/>
    <w:rsid w:val="00CB40BF"/>
    <w:rsid w:val="00CD2F05"/>
    <w:rsid w:val="00D00DA9"/>
    <w:rsid w:val="00D04EF3"/>
    <w:rsid w:val="00D11F90"/>
    <w:rsid w:val="00D14635"/>
    <w:rsid w:val="00D2502A"/>
    <w:rsid w:val="00D31BC2"/>
    <w:rsid w:val="00D35BA0"/>
    <w:rsid w:val="00D41536"/>
    <w:rsid w:val="00D57C39"/>
    <w:rsid w:val="00D61AAE"/>
    <w:rsid w:val="00D66CBE"/>
    <w:rsid w:val="00D72726"/>
    <w:rsid w:val="00D77BAE"/>
    <w:rsid w:val="00D846D2"/>
    <w:rsid w:val="00DB1863"/>
    <w:rsid w:val="00DB5E3E"/>
    <w:rsid w:val="00DC1EC5"/>
    <w:rsid w:val="00DC2EBB"/>
    <w:rsid w:val="00DC6419"/>
    <w:rsid w:val="00DC7C22"/>
    <w:rsid w:val="00DD57AE"/>
    <w:rsid w:val="00E0539C"/>
    <w:rsid w:val="00E16E19"/>
    <w:rsid w:val="00E34B57"/>
    <w:rsid w:val="00E948A5"/>
    <w:rsid w:val="00E9505B"/>
    <w:rsid w:val="00E96269"/>
    <w:rsid w:val="00EC16EA"/>
    <w:rsid w:val="00EC58DB"/>
    <w:rsid w:val="00ED46F2"/>
    <w:rsid w:val="00EF7F02"/>
    <w:rsid w:val="00F04718"/>
    <w:rsid w:val="00F11762"/>
    <w:rsid w:val="00F25FE6"/>
    <w:rsid w:val="00F37472"/>
    <w:rsid w:val="00F40C40"/>
    <w:rsid w:val="00F417D0"/>
    <w:rsid w:val="00F41FEF"/>
    <w:rsid w:val="00F71BB6"/>
    <w:rsid w:val="00FC267A"/>
    <w:rsid w:val="00FD7C90"/>
    <w:rsid w:val="00FE1FC7"/>
    <w:rsid w:val="00FF2FA7"/>
    <w:rsid w:val="00FF6559"/>
    <w:rsid w:val="06B4F833"/>
    <w:rsid w:val="07CF1F54"/>
    <w:rsid w:val="0AE69CBE"/>
    <w:rsid w:val="0E3C2648"/>
    <w:rsid w:val="1062187C"/>
    <w:rsid w:val="10B14676"/>
    <w:rsid w:val="20B46B64"/>
    <w:rsid w:val="28AD132C"/>
    <w:rsid w:val="2E87D808"/>
    <w:rsid w:val="463981A1"/>
    <w:rsid w:val="500E538B"/>
    <w:rsid w:val="58F3575C"/>
    <w:rsid w:val="6C5D5211"/>
    <w:rsid w:val="74C2A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212FE3E"/>
  <w15:chartTrackingRefBased/>
  <w15:docId w15:val="{1472DF94-C066-4FB0-9195-C6BFA17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5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7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7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57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57C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57C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7C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57C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5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57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57C78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57C78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57C7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57C7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7C7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57C7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5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57C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5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C78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C78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57C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D14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6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327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2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27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755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010C69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2"/>
      <w:szCs w:val="20"/>
      <w:lang w:val="fr-FR"/>
      <w14:ligatures w14:val="none"/>
    </w:rPr>
  </w:style>
  <w:style w:type="character" w:customStyle="1" w:styleId="HeaderChar">
    <w:name w:val="Header Char"/>
    <w:basedOn w:val="DefaultParagraphFont"/>
    <w:link w:val="Header"/>
    <w:rsid w:val="00010C69"/>
    <w:rPr>
      <w:rFonts w:ascii="Tahoma" w:eastAsia="Times New Roman" w:hAnsi="Tahoma" w:cs="Times New Roman"/>
      <w:szCs w:val="20"/>
      <w:lang w:val="fr-FR"/>
      <w14:ligatures w14:val="none"/>
    </w:rPr>
  </w:style>
  <w:style w:type="paragraph" w:styleId="BodyText">
    <w:name w:val="Body Text"/>
    <w:basedOn w:val="Normal"/>
    <w:link w:val="BodyTextChar"/>
    <w:rsid w:val="00010C69"/>
    <w:pPr>
      <w:spacing w:after="0" w:line="240" w:lineRule="auto"/>
    </w:pPr>
    <w:rPr>
      <w:rFonts w:ascii="Tahoma" w:eastAsia="Times New Roman" w:hAnsi="Tahoma" w:cs="Times New Roman"/>
      <w:szCs w:val="20"/>
      <w:u w:val="single"/>
      <w:lang w:val="nl-BE"/>
      <w14:ligatures w14:val="none"/>
    </w:rPr>
  </w:style>
  <w:style w:type="character" w:customStyle="1" w:styleId="BodyTextChar">
    <w:name w:val="Body Text Char"/>
    <w:basedOn w:val="DefaultParagraphFont"/>
    <w:link w:val="BodyText"/>
    <w:rsid w:val="00010C69"/>
    <w:rPr>
      <w:rFonts w:ascii="Tahoma" w:eastAsia="Times New Roman" w:hAnsi="Tahoma" w:cs="Times New Roman"/>
      <w:sz w:val="24"/>
      <w:szCs w:val="20"/>
      <w:u w:val="single"/>
      <w:lang w:val="nl-BE"/>
      <w14:ligatures w14:val="none"/>
    </w:rPr>
  </w:style>
  <w:style w:type="paragraph" w:styleId="Footer">
    <w:name w:val="footer"/>
    <w:basedOn w:val="Normal"/>
    <w:link w:val="FooterChar"/>
    <w:uiPriority w:val="99"/>
    <w:rsid w:val="0010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13E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0472A5"/>
    <w:pPr>
      <w:spacing w:after="0" w:line="240" w:lineRule="auto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GCRM.database@riziv-inami.fgov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sam.b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ée un document." ma:contentTypeScope="" ma:versionID="60d0a8d79fa06f72a3bc6c268659865f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16dd9c137f1f5cbecdd3021a27fdf76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DOBY xmlns="cf83245a-01d9-4485-b032-fd054b795d5d">Communication</TODOBY>
    <Treatedby xmlns="cf83245a-01d9-4485-b032-fd054b795d5d">
      <UserInfo>
        <DisplayName/>
        <AccountId xsi:nil="true"/>
        <AccountType/>
      </UserInfo>
    </Treatedby>
    <lcf76f155ced4ddcb4097134ff3c332f xmlns="cf83245a-01d9-4485-b032-fd054b795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BBC7FB-41D5-46CE-933C-BA17554B0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652A99-965C-4746-B687-B901A56B3121}"/>
</file>

<file path=customXml/itemProps3.xml><?xml version="1.0" encoding="utf-8"?>
<ds:datastoreItem xmlns:ds="http://schemas.openxmlformats.org/officeDocument/2006/customXml" ds:itemID="{D7EA500D-9BE1-4606-91FA-1669F2DF155A}"/>
</file>

<file path=customXml/itemProps4.xml><?xml version="1.0" encoding="utf-8"?>
<ds:datastoreItem xmlns:ds="http://schemas.openxmlformats.org/officeDocument/2006/customXml" ds:itemID="{113860F7-2421-4BCC-A7A9-9892615AB5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3556</Characters>
  <Application>Microsoft Office Word</Application>
  <DocSecurity>0</DocSecurity>
  <Lines>75</Lines>
  <Paragraphs>23</Paragraphs>
  <ScaleCrop>false</ScaleCrop>
  <Company>RIZIV-INAMI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Mutemberezi (RIZIV-INAMI)</dc:creator>
  <cp:keywords/>
  <dc:description/>
  <cp:lastModifiedBy>Merve Duran (RIZIV-INAMI)</cp:lastModifiedBy>
  <cp:revision>5</cp:revision>
  <dcterms:created xsi:type="dcterms:W3CDTF">2026-02-17T16:23:00Z</dcterms:created>
  <dcterms:modified xsi:type="dcterms:W3CDTF">2026-02-19T17:25:00Z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</Properties>
</file>