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8D04" w14:textId="77777777" w:rsidR="00F3014B" w:rsidRPr="00E51D56" w:rsidRDefault="00F3014B" w:rsidP="00F3014B">
      <w:pPr>
        <w:pBdr>
          <w:bottom w:val="single" w:sz="4" w:space="1" w:color="auto"/>
        </w:pBdr>
        <w:jc w:val="both"/>
        <w:rPr>
          <w:rFonts w:ascii="Calibri" w:eastAsia="Calibri" w:hAnsi="Calibri" w:cs="Times New Roman"/>
          <w:sz w:val="24"/>
          <w:lang w:val="fr-BE"/>
        </w:rPr>
      </w:pPr>
      <w:r w:rsidRPr="00E51D56">
        <w:rPr>
          <w:rFonts w:ascii="Calibri" w:eastAsia="Calibri" w:hAnsi="Calibri" w:cs="Times New Roman"/>
          <w:b/>
          <w:sz w:val="28"/>
          <w:lang w:val="fr"/>
        </w:rPr>
        <w:t>Annexe 8 : Questions &amp; réponses relatives à l’administration de la preuve de l’inscription du titulaire en qualité de résident</w:t>
      </w:r>
      <w:r w:rsidRPr="00E51D56">
        <w:rPr>
          <w:rFonts w:ascii="Calibri" w:eastAsia="Calibri" w:hAnsi="Calibri" w:cs="Times New Roman"/>
          <w:sz w:val="24"/>
          <w:lang w:val="fr"/>
        </w:rPr>
        <w:t>.</w:t>
      </w:r>
    </w:p>
    <w:p w14:paraId="10FCDA27" w14:textId="77777777" w:rsidR="00F3014B" w:rsidRPr="00E51D56" w:rsidRDefault="00F3014B" w:rsidP="00F3014B">
      <w:pPr>
        <w:jc w:val="both"/>
        <w:rPr>
          <w:rFonts w:ascii="Calibri" w:eastAsia="Calibri" w:hAnsi="Calibri" w:cs="Times New Roman"/>
          <w:u w:val="single"/>
          <w:lang w:val="fr-BE"/>
        </w:rPr>
      </w:pPr>
    </w:p>
    <w:p w14:paraId="4F49BBD8" w14:textId="77777777" w:rsidR="00F3014B" w:rsidRPr="00E51D56" w:rsidRDefault="00F3014B" w:rsidP="00F3014B">
      <w:pPr>
        <w:jc w:val="both"/>
        <w:rPr>
          <w:rFonts w:ascii="Calibri" w:eastAsia="Calibri" w:hAnsi="Calibri" w:cs="Times New Roman"/>
          <w:u w:val="single"/>
          <w:lang w:val="fr-BE"/>
        </w:rPr>
      </w:pPr>
      <w:r w:rsidRPr="00E51D56">
        <w:rPr>
          <w:rFonts w:ascii="Calibri" w:eastAsia="Calibri" w:hAnsi="Calibri" w:cs="Times New Roman"/>
          <w:u w:val="single"/>
          <w:lang w:val="fr"/>
        </w:rPr>
        <w:t>L’annexe 15 peut-elle être utilisée pour l’inscription en qualité de résident ?</w:t>
      </w:r>
    </w:p>
    <w:p w14:paraId="5AB837B7"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La réponse dépend de la case cochée par l’administration communale.</w:t>
      </w:r>
    </w:p>
    <w:p w14:paraId="683E570C" w14:textId="546BC3EA"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 xml:space="preserve">Pour être inscrit en qualité de résident, il faut que la </w:t>
      </w:r>
      <w:r w:rsidRPr="00D87034">
        <w:rPr>
          <w:rFonts w:ascii="Calibri" w:eastAsia="Calibri" w:hAnsi="Calibri" w:cs="Times New Roman"/>
          <w:lang w:val="fr"/>
        </w:rPr>
        <w:t>1</w:t>
      </w:r>
      <w:r w:rsidR="00D87034" w:rsidRPr="001A17DF">
        <w:rPr>
          <w:rFonts w:ascii="Calibri" w:eastAsia="Calibri" w:hAnsi="Calibri" w:cs="Times New Roman"/>
          <w:vertAlign w:val="superscript"/>
          <w:lang w:val="fr"/>
        </w:rPr>
        <w:t>è</w:t>
      </w:r>
      <w:r w:rsidRPr="001A17DF">
        <w:rPr>
          <w:rFonts w:ascii="Calibri" w:eastAsia="Calibri" w:hAnsi="Calibri" w:cs="Times New Roman"/>
          <w:vertAlign w:val="superscript"/>
          <w:lang w:val="fr"/>
        </w:rPr>
        <w:t>r</w:t>
      </w:r>
      <w:r w:rsidR="00D87034" w:rsidRPr="001A17DF">
        <w:rPr>
          <w:rFonts w:ascii="Calibri" w:eastAsia="Calibri" w:hAnsi="Calibri" w:cs="Times New Roman"/>
          <w:vertAlign w:val="superscript"/>
          <w:lang w:val="fr"/>
        </w:rPr>
        <w:t>e</w:t>
      </w:r>
      <w:r w:rsidRPr="00D87034">
        <w:rPr>
          <w:rFonts w:ascii="Calibri" w:eastAsia="Calibri" w:hAnsi="Calibri" w:cs="Times New Roman"/>
          <w:lang w:val="fr"/>
        </w:rPr>
        <w:t>, la 2</w:t>
      </w:r>
      <w:r w:rsidR="00D87034" w:rsidRPr="001A17DF">
        <w:rPr>
          <w:rFonts w:ascii="Calibri" w:eastAsia="Calibri" w:hAnsi="Calibri" w:cs="Times New Roman"/>
          <w:vertAlign w:val="superscript"/>
          <w:lang w:val="fr"/>
        </w:rPr>
        <w:t>è</w:t>
      </w:r>
      <w:r w:rsidRPr="00D87034">
        <w:rPr>
          <w:rFonts w:ascii="Calibri" w:eastAsia="Calibri" w:hAnsi="Calibri" w:cs="Times New Roman"/>
          <w:lang w:val="fr"/>
        </w:rPr>
        <w:t>, la 3</w:t>
      </w:r>
      <w:r w:rsidR="00D87034" w:rsidRPr="001A17DF">
        <w:rPr>
          <w:rFonts w:ascii="Calibri" w:eastAsia="Calibri" w:hAnsi="Calibri" w:cs="Times New Roman"/>
          <w:vertAlign w:val="superscript"/>
          <w:lang w:val="fr"/>
        </w:rPr>
        <w:t>è</w:t>
      </w:r>
      <w:r w:rsidRPr="00D87034">
        <w:rPr>
          <w:rFonts w:ascii="Calibri" w:eastAsia="Calibri" w:hAnsi="Calibri" w:cs="Times New Roman"/>
          <w:lang w:val="fr"/>
        </w:rPr>
        <w:t>, la 4</w:t>
      </w:r>
      <w:r w:rsidR="00D87034" w:rsidRPr="001A17DF">
        <w:rPr>
          <w:rFonts w:ascii="Calibri" w:eastAsia="Calibri" w:hAnsi="Calibri" w:cs="Times New Roman"/>
          <w:vertAlign w:val="superscript"/>
          <w:lang w:val="fr"/>
        </w:rPr>
        <w:t>è</w:t>
      </w:r>
      <w:r w:rsidRPr="00D87034">
        <w:rPr>
          <w:rFonts w:ascii="Calibri" w:eastAsia="Calibri" w:hAnsi="Calibri" w:cs="Times New Roman"/>
          <w:lang w:val="fr"/>
        </w:rPr>
        <w:t xml:space="preserve"> et la 8</w:t>
      </w:r>
      <w:r w:rsidR="00D87034" w:rsidRPr="001A17DF">
        <w:rPr>
          <w:rFonts w:ascii="Calibri" w:eastAsia="Calibri" w:hAnsi="Calibri" w:cs="Times New Roman"/>
          <w:vertAlign w:val="superscript"/>
          <w:lang w:val="fr"/>
        </w:rPr>
        <w:t>è</w:t>
      </w:r>
      <w:r w:rsidRPr="00E51D56">
        <w:rPr>
          <w:rFonts w:ascii="Calibri" w:eastAsia="Calibri" w:hAnsi="Calibri" w:cs="Times New Roman"/>
          <w:lang w:val="fr"/>
        </w:rPr>
        <w:t xml:space="preserve"> case de l’annexe 15 soit cochée.</w:t>
      </w:r>
    </w:p>
    <w:p w14:paraId="3A9E52F5"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Si l’annexe 15 est délivrée sur base de l’article 110bis de l’arrêté royal précité du 8 octobre 1981 sur l’accès au territoire (6</w:t>
      </w:r>
      <w:r w:rsidRPr="00E51D56">
        <w:rPr>
          <w:rFonts w:ascii="Calibri" w:eastAsia="Calibri" w:hAnsi="Calibri" w:cs="Times New Roman"/>
          <w:vertAlign w:val="superscript"/>
          <w:lang w:val="fr"/>
        </w:rPr>
        <w:t>ème</w:t>
      </w:r>
      <w:r w:rsidRPr="00E51D56">
        <w:rPr>
          <w:rFonts w:ascii="Calibri" w:eastAsia="Calibri" w:hAnsi="Calibri" w:cs="Times New Roman"/>
          <w:lang w:val="fr"/>
        </w:rPr>
        <w:t xml:space="preserve"> case), la personne, à ce stade de la procédure, n’a pas encore droit au séjour de plus de 3 mois, et elle ne peut, donc, pas s’inscrire comme résident.</w:t>
      </w:r>
    </w:p>
    <w:p w14:paraId="66E1548C" w14:textId="77777777" w:rsidR="00F3014B" w:rsidRPr="00E51D56" w:rsidRDefault="00F3014B" w:rsidP="00F3014B">
      <w:pPr>
        <w:jc w:val="both"/>
        <w:rPr>
          <w:rFonts w:ascii="Calibri" w:eastAsia="Calibri" w:hAnsi="Calibri" w:cs="Times New Roman"/>
          <w:lang w:val="fr"/>
        </w:rPr>
      </w:pPr>
      <w:r w:rsidRPr="00E51D56">
        <w:rPr>
          <w:rFonts w:ascii="Calibri" w:eastAsia="Calibri" w:hAnsi="Calibri" w:cs="Times New Roman"/>
          <w:lang w:val="fr"/>
        </w:rPr>
        <w:t>Le travailleur frontalier qui se voit remettre une annexe 15 (5</w:t>
      </w:r>
      <w:r w:rsidRPr="00E51D56">
        <w:rPr>
          <w:rFonts w:ascii="Calibri" w:eastAsia="Calibri" w:hAnsi="Calibri" w:cs="Times New Roman"/>
          <w:vertAlign w:val="superscript"/>
          <w:lang w:val="fr"/>
        </w:rPr>
        <w:t>ème</w:t>
      </w:r>
      <w:r w:rsidRPr="00E51D56">
        <w:rPr>
          <w:rFonts w:ascii="Calibri" w:eastAsia="Calibri" w:hAnsi="Calibri" w:cs="Times New Roman"/>
          <w:lang w:val="fr"/>
        </w:rPr>
        <w:t xml:space="preserve"> case) ne peut pas s’inscrire comme résident.</w:t>
      </w:r>
    </w:p>
    <w:p w14:paraId="6D756D00" w14:textId="77777777" w:rsidR="00F3014B" w:rsidRPr="00E51D56" w:rsidRDefault="00F3014B" w:rsidP="00F3014B">
      <w:pPr>
        <w:jc w:val="both"/>
        <w:rPr>
          <w:rFonts w:ascii="Calibri" w:eastAsia="Calibri" w:hAnsi="Calibri" w:cs="Times New Roman"/>
          <w:lang w:val="fr"/>
        </w:rPr>
      </w:pPr>
      <w:r w:rsidRPr="00E51D56">
        <w:rPr>
          <w:rFonts w:ascii="Calibri" w:eastAsia="Calibri" w:hAnsi="Calibri" w:cs="Times New Roman"/>
          <w:lang w:val="fr"/>
        </w:rPr>
        <w:t>La personne qui a accès au territoire conformément à l'art. 119 de l'arrêté royal du 8 octobre 1981 relatif à l'accès au territoire, au séjour, à l'établissement et à l'éloignement des étrangers) (7</w:t>
      </w:r>
      <w:r w:rsidRPr="00E51D56">
        <w:rPr>
          <w:rFonts w:ascii="Calibri" w:eastAsia="Calibri" w:hAnsi="Calibri" w:cs="Times New Roman"/>
          <w:vertAlign w:val="superscript"/>
          <w:lang w:val="fr"/>
        </w:rPr>
        <w:t>ème</w:t>
      </w:r>
      <w:r w:rsidRPr="00E51D56">
        <w:rPr>
          <w:rFonts w:ascii="Calibri" w:eastAsia="Calibri" w:hAnsi="Calibri" w:cs="Times New Roman"/>
          <w:lang w:val="fr"/>
        </w:rPr>
        <w:t xml:space="preserve"> case) peut s'inscrire en qualité de résident s'il soumet l'annexe 15 en combinaison avec:</w:t>
      </w:r>
    </w:p>
    <w:p w14:paraId="4CE399A7" w14:textId="77777777" w:rsidR="00F3014B" w:rsidRPr="00E51D56" w:rsidRDefault="00F3014B" w:rsidP="00F3014B">
      <w:pPr>
        <w:pStyle w:val="Paragraphedeliste"/>
        <w:numPr>
          <w:ilvl w:val="0"/>
          <w:numId w:val="4"/>
        </w:numPr>
        <w:jc w:val="both"/>
        <w:rPr>
          <w:rFonts w:ascii="Calibri" w:eastAsia="Calibri" w:hAnsi="Calibri" w:cs="Times New Roman"/>
          <w:lang w:val="fr"/>
        </w:rPr>
      </w:pPr>
      <w:r w:rsidRPr="00E51D56">
        <w:rPr>
          <w:rFonts w:ascii="Calibri" w:eastAsia="Calibri" w:hAnsi="Calibri" w:cs="Times New Roman"/>
          <w:lang w:val="fr"/>
        </w:rPr>
        <w:t>un visa valable de type D</w:t>
      </w:r>
    </w:p>
    <w:p w14:paraId="528A70DC" w14:textId="77777777" w:rsidR="00F3014B" w:rsidRPr="00E51D56" w:rsidRDefault="00F3014B" w:rsidP="00F3014B">
      <w:pPr>
        <w:pStyle w:val="Paragraphedeliste"/>
        <w:numPr>
          <w:ilvl w:val="0"/>
          <w:numId w:val="4"/>
        </w:numPr>
        <w:jc w:val="both"/>
        <w:rPr>
          <w:rFonts w:ascii="Calibri" w:eastAsia="Calibri" w:hAnsi="Calibri" w:cs="Times New Roman"/>
          <w:lang w:val="fr"/>
        </w:rPr>
      </w:pPr>
      <w:r w:rsidRPr="00E51D56">
        <w:rPr>
          <w:rFonts w:ascii="Calibri" w:eastAsia="Calibri" w:hAnsi="Calibri" w:cs="Times New Roman"/>
          <w:lang w:val="fr"/>
        </w:rPr>
        <w:t>une décision de l’Office des étrangers que l’intéressé peut obtenir, un Certificat d’Inscription au Registre des étrangers (CIRE) (ex. dans le cadre de la procédure de victime de la traite des êtres humains ou dans le cadre d’une demande 9ter ou 9bis…)</w:t>
      </w:r>
    </w:p>
    <w:p w14:paraId="5E3C24B9" w14:textId="77777777" w:rsidR="00F3014B" w:rsidRPr="00E51D56" w:rsidRDefault="00F3014B" w:rsidP="00F3014B">
      <w:pPr>
        <w:jc w:val="both"/>
        <w:rPr>
          <w:rFonts w:ascii="Calibri" w:eastAsia="Calibri" w:hAnsi="Calibri" w:cs="Times New Roman"/>
          <w:u w:val="single"/>
          <w:lang w:val="fr-BE"/>
        </w:rPr>
      </w:pPr>
      <w:r w:rsidRPr="00E51D56">
        <w:rPr>
          <w:rFonts w:ascii="Calibri" w:eastAsia="Calibri" w:hAnsi="Calibri" w:cs="Times New Roman"/>
          <w:u w:val="single"/>
          <w:lang w:val="fr"/>
        </w:rPr>
        <w:t>Si une personne apparaît dans le flux H210, cela suffit-il pour l’inscrire comme résident ?</w:t>
      </w:r>
    </w:p>
    <w:p w14:paraId="4459AA91"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Non</w:t>
      </w:r>
    </w:p>
    <w:p w14:paraId="3EF162F4"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Cela tient à la nature du flux : selon les informations dont nous disposons, ce flux donne uniquement une indication (code chiffré) quant au registre dans lequel la personne se trouve, sans qu’il y ait pour autant un accès aux informations contenues dans ce registre. Toujours selon les informations que nous avons reçues à ce sujet, il s’agit plutôt d’un « flux de référence » qui n’est pas suffisant quant au contenu. Pour cette raison nous estimons que ce flux, tel que présenté, ne peut servir de preuve suffisante de l’inscription comme résident et que nous ferions mieux d’examiner l’utilisation d’autres flux ou moyens au contenu plus étoffé. Notre objectif de base demeure encore de pouvoir évoluer vers des modes d’attestation plus simples (et toujours en concertation avec vous, l’Office des étrangers, et bien sûr aussi avec les collègues du Service des soins de santé).</w:t>
      </w:r>
    </w:p>
    <w:p w14:paraId="4D6E0228"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(29/8/2017)</w:t>
      </w:r>
    </w:p>
    <w:p w14:paraId="1055985E" w14:textId="77777777" w:rsidR="00F3014B" w:rsidRPr="00E51D56" w:rsidRDefault="00F3014B" w:rsidP="00F3014B">
      <w:pPr>
        <w:jc w:val="both"/>
        <w:rPr>
          <w:rFonts w:ascii="Calibri" w:eastAsia="Calibri" w:hAnsi="Calibri" w:cs="Times New Roman"/>
          <w:u w:val="single"/>
          <w:lang w:val="fr-BE"/>
        </w:rPr>
      </w:pPr>
      <w:r w:rsidRPr="00E51D56">
        <w:rPr>
          <w:rFonts w:ascii="Calibri" w:eastAsia="Calibri" w:hAnsi="Calibri" w:cs="Times New Roman"/>
          <w:u w:val="single"/>
          <w:lang w:val="fr"/>
        </w:rPr>
        <w:t>Est-ce qu’une annexe 8 sur papier suffit comme pièce justificative pour l'inscription d’un résident ?</w:t>
      </w:r>
    </w:p>
    <w:p w14:paraId="3EC30DD6" w14:textId="77777777" w:rsidR="00F3014B" w:rsidRPr="00E51D56" w:rsidRDefault="00F3014B" w:rsidP="00F3014B">
      <w:pPr>
        <w:jc w:val="both"/>
        <w:rPr>
          <w:rFonts w:ascii="Calibri" w:eastAsia="Calibri" w:hAnsi="Calibri" w:cs="Times New Roman"/>
          <w:lang w:val="fr"/>
        </w:rPr>
      </w:pPr>
      <w:r w:rsidRPr="00E51D56">
        <w:rPr>
          <w:rFonts w:ascii="Calibri" w:eastAsia="Calibri" w:hAnsi="Calibri" w:cs="Times New Roman"/>
          <w:lang w:val="fr"/>
        </w:rPr>
        <w:t xml:space="preserve">Oui </w:t>
      </w:r>
    </w:p>
    <w:p w14:paraId="5BF6B3B7" w14:textId="77777777" w:rsidR="00F3014B" w:rsidRPr="00E51D56" w:rsidRDefault="00F3014B" w:rsidP="00F3014B">
      <w:pPr>
        <w:jc w:val="both"/>
        <w:rPr>
          <w:rFonts w:ascii="Calibri" w:eastAsia="Calibri" w:hAnsi="Calibri" w:cs="Times New Roman"/>
          <w:lang w:val="fr"/>
        </w:rPr>
      </w:pPr>
      <w:r w:rsidRPr="00E51D56">
        <w:rPr>
          <w:rFonts w:ascii="Calibri" w:eastAsia="Calibri" w:hAnsi="Calibri" w:cs="Times New Roman"/>
          <w:lang w:val="fr"/>
        </w:rPr>
        <w:lastRenderedPageBreak/>
        <w:t xml:space="preserve">L’annexe 8 ou 8bis est délivrée à un citoyen de l’Union Européenne si aucune annexe 15 n’est délivrée. Dans l’attente de leur carte E ou E+ (la version électronique des annexes 8 et 8bis) ils se voient délivrer ces annexes 8 ou 8bis. </w:t>
      </w:r>
    </w:p>
    <w:p w14:paraId="22595FAE" w14:textId="77777777" w:rsidR="00F3014B" w:rsidRPr="00E51D56" w:rsidRDefault="00F3014B" w:rsidP="00F3014B">
      <w:pPr>
        <w:jc w:val="both"/>
        <w:rPr>
          <w:lang w:val="fr-BE"/>
        </w:rPr>
      </w:pPr>
      <w:r w:rsidRPr="00E51D56">
        <w:rPr>
          <w:rFonts w:ascii="Calibri" w:eastAsia="Calibri" w:hAnsi="Calibri" w:cs="Times New Roman"/>
          <w:lang w:val="fr"/>
        </w:rPr>
        <w:t>L’annexe 8 ou 8bis est un moyen de preuve suffisant, pour l’autorisation de séjour d’une durée illimitée. »</w:t>
      </w:r>
      <w:r w:rsidRPr="00E51D56">
        <w:rPr>
          <w:lang w:val="fr-BE"/>
        </w:rPr>
        <w:t xml:space="preserve">  </w:t>
      </w:r>
      <w:r w:rsidRPr="00E51D56">
        <w:rPr>
          <w:rFonts w:ascii="Calibri" w:eastAsia="Calibri" w:hAnsi="Calibri" w:cs="Times New Roman"/>
          <w:lang w:val="fr"/>
        </w:rPr>
        <w:t xml:space="preserve">L’annexe 8 ou 8 bis ne sont pas uniquement provisoire, délivré dans l’attente d’une carte E ou E+. Or, l’annexe 8 et 8bis sont des documents à part entière. </w:t>
      </w:r>
    </w:p>
    <w:p w14:paraId="59B854C6"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Les citoyens de l’Union ont le choix entre un document papier ou une carte électronique.</w:t>
      </w:r>
    </w:p>
    <w:p w14:paraId="0F992379"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La circulaire ayant été modifiée, il n’est donc plus nécessaire que l’Office des étrangers prenne une décision.</w:t>
      </w:r>
    </w:p>
    <w:p w14:paraId="00F28FE2" w14:textId="77777777" w:rsidR="00F3014B" w:rsidRPr="00E51D56" w:rsidRDefault="00F3014B" w:rsidP="00F3014B">
      <w:pPr>
        <w:jc w:val="both"/>
        <w:rPr>
          <w:rFonts w:ascii="Calibri" w:eastAsia="Calibri" w:hAnsi="Calibri" w:cs="Times New Roman"/>
          <w:u w:val="single"/>
          <w:lang w:val="fr-BE"/>
        </w:rPr>
      </w:pPr>
      <w:r w:rsidRPr="00E51D56">
        <w:rPr>
          <w:rFonts w:ascii="Calibri" w:eastAsia="Calibri" w:hAnsi="Calibri" w:cs="Times New Roman"/>
          <w:u w:val="single"/>
          <w:lang w:val="fr"/>
        </w:rPr>
        <w:t>L’annexe 12 peut-elle être utilisée comme moyen de preuve pour l’inscription comme résident ?</w:t>
      </w:r>
    </w:p>
    <w:p w14:paraId="74868A0B" w14:textId="77777777" w:rsidR="00F3014B" w:rsidRPr="00E51D56" w:rsidRDefault="00F3014B" w:rsidP="00F3014B">
      <w:pPr>
        <w:jc w:val="both"/>
        <w:rPr>
          <w:rFonts w:ascii="Calibri" w:eastAsia="Calibri" w:hAnsi="Calibri" w:cs="Times New Roman"/>
          <w:lang w:val="fr"/>
        </w:rPr>
      </w:pPr>
      <w:r w:rsidRPr="00E51D56">
        <w:rPr>
          <w:rFonts w:ascii="Calibri" w:eastAsia="Calibri" w:hAnsi="Calibri" w:cs="Times New Roman"/>
          <w:lang w:val="fr"/>
        </w:rPr>
        <w:t>Il existe 2 annexes 12 :</w:t>
      </w:r>
    </w:p>
    <w:p w14:paraId="686AC9FF" w14:textId="77777777" w:rsidR="00F3014B" w:rsidRPr="00E51D56" w:rsidRDefault="00F3014B" w:rsidP="00F3014B">
      <w:pPr>
        <w:pStyle w:val="Paragraphedeliste"/>
        <w:numPr>
          <w:ilvl w:val="0"/>
          <w:numId w:val="2"/>
        </w:numPr>
        <w:jc w:val="both"/>
        <w:rPr>
          <w:rFonts w:ascii="Calibri" w:eastAsia="Calibri" w:hAnsi="Calibri" w:cs="Times New Roman"/>
          <w:lang w:val="fr"/>
        </w:rPr>
      </w:pPr>
      <w:r w:rsidRPr="00E51D56">
        <w:rPr>
          <w:rFonts w:ascii="Calibri" w:eastAsia="Calibri" w:hAnsi="Calibri" w:cs="Times New Roman"/>
          <w:lang w:val="fr"/>
        </w:rPr>
        <w:t xml:space="preserve">L’annexe 12, de l’arrêté royal du 8 octobre 1981 = ordre de quitter le territoire  </w:t>
      </w:r>
    </w:p>
    <w:p w14:paraId="63D426B5" w14:textId="77777777" w:rsidR="00F3014B" w:rsidRPr="00E51D56" w:rsidRDefault="00F3014B" w:rsidP="00F3014B">
      <w:pPr>
        <w:pStyle w:val="Paragraphedeliste"/>
        <w:numPr>
          <w:ilvl w:val="0"/>
          <w:numId w:val="2"/>
        </w:numPr>
        <w:jc w:val="both"/>
        <w:rPr>
          <w:rFonts w:ascii="Calibri" w:eastAsia="Calibri" w:hAnsi="Calibri" w:cs="Times New Roman"/>
          <w:lang w:val="fr"/>
        </w:rPr>
      </w:pPr>
      <w:r w:rsidRPr="00E51D56">
        <w:rPr>
          <w:rFonts w:ascii="Calibri" w:eastAsia="Calibri" w:hAnsi="Calibri" w:cs="Times New Roman"/>
          <w:lang w:val="fr"/>
        </w:rPr>
        <w:t>L’annexe qui est l’annexe 12 aux instructions générales sur les cartes électroniques = l’attestation de perte ou de vol d’un document ou d’un titre de séjour.</w:t>
      </w:r>
    </w:p>
    <w:p w14:paraId="5CDDDD3F"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 xml:space="preserve">D’après notre analyse, l’annexe 12 de l’arrêté royal du 8 octobre 1981 est délivrée dans les cas suivants : </w:t>
      </w:r>
    </w:p>
    <w:p w14:paraId="467D9E84" w14:textId="77777777" w:rsidR="00F3014B" w:rsidRPr="00E51D56" w:rsidRDefault="00F3014B" w:rsidP="00F3014B">
      <w:pPr>
        <w:numPr>
          <w:ilvl w:val="0"/>
          <w:numId w:val="1"/>
        </w:numPr>
        <w:spacing w:after="0" w:line="240" w:lineRule="auto"/>
        <w:contextualSpacing/>
        <w:rPr>
          <w:rFonts w:ascii="Calibri" w:eastAsia="Calibri" w:hAnsi="Calibri" w:cs="Times New Roman"/>
          <w:lang w:val="fr-BE"/>
        </w:rPr>
      </w:pPr>
      <w:r w:rsidRPr="00E51D56">
        <w:rPr>
          <w:rFonts w:ascii="Calibri" w:eastAsia="Calibri" w:hAnsi="Calibri" w:cs="Times New Roman"/>
          <w:lang w:val="fr"/>
        </w:rPr>
        <w:t xml:space="preserve">Les étrangers qui sont entrés dans le pays sans les documents d’entrée requis. </w:t>
      </w:r>
    </w:p>
    <w:p w14:paraId="5C37059E" w14:textId="77777777" w:rsidR="00F3014B" w:rsidRPr="00E51D56" w:rsidRDefault="00F3014B" w:rsidP="00F3014B">
      <w:pPr>
        <w:numPr>
          <w:ilvl w:val="0"/>
          <w:numId w:val="1"/>
        </w:numPr>
        <w:spacing w:after="0" w:line="240" w:lineRule="auto"/>
        <w:contextualSpacing/>
        <w:rPr>
          <w:rFonts w:ascii="Calibri" w:eastAsia="Calibri" w:hAnsi="Calibri" w:cs="Times New Roman"/>
          <w:lang w:val="fr-BE"/>
        </w:rPr>
      </w:pPr>
      <w:r w:rsidRPr="00E51D56">
        <w:rPr>
          <w:rFonts w:ascii="Calibri" w:eastAsia="Calibri" w:hAnsi="Calibri" w:cs="Times New Roman"/>
          <w:lang w:val="fr"/>
        </w:rPr>
        <w:t xml:space="preserve">Les étudiants (de pays tiers) qui n’ont pas prouvé à temps qu’ils remplissaient les conditions de séjour en qualité d’étudiant. </w:t>
      </w:r>
    </w:p>
    <w:p w14:paraId="45DF6C2B" w14:textId="77777777" w:rsidR="00F3014B" w:rsidRPr="00E51D56" w:rsidRDefault="00F3014B" w:rsidP="00F3014B">
      <w:pPr>
        <w:spacing w:after="0" w:line="240" w:lineRule="auto"/>
        <w:ind w:left="720"/>
        <w:contextualSpacing/>
        <w:rPr>
          <w:rFonts w:ascii="Calibri" w:eastAsia="Calibri" w:hAnsi="Calibri" w:cs="Times New Roman"/>
          <w:lang w:val="fr-BE"/>
        </w:rPr>
      </w:pPr>
    </w:p>
    <w:p w14:paraId="27458B6F" w14:textId="77777777" w:rsidR="00F3014B" w:rsidRPr="00E51D56" w:rsidRDefault="00F3014B" w:rsidP="00F3014B">
      <w:pPr>
        <w:rPr>
          <w:rFonts w:ascii="Calibri" w:eastAsia="Calibri" w:hAnsi="Calibri" w:cs="Times New Roman"/>
          <w:lang w:val="fr-BE"/>
        </w:rPr>
      </w:pPr>
      <w:r w:rsidRPr="00E51D56">
        <w:rPr>
          <w:rFonts w:ascii="Calibri" w:eastAsia="Calibri" w:hAnsi="Calibri" w:cs="Times New Roman"/>
          <w:lang w:val="fr"/>
        </w:rPr>
        <w:t xml:space="preserve">Les personnes qui se trouvent dans ces situations ne remplissent pas les conditions d’inscription comme résident. C’est pourquoi l’annexe 12 ne peut être retenue comme pièce justificative dans la circulaire 2018/131. </w:t>
      </w:r>
    </w:p>
    <w:p w14:paraId="3202E4B0" w14:textId="77777777" w:rsidR="00F3014B" w:rsidRPr="00E51D56" w:rsidRDefault="00F3014B" w:rsidP="00F3014B">
      <w:pPr>
        <w:jc w:val="both"/>
        <w:rPr>
          <w:rFonts w:ascii="Calibri" w:eastAsia="Calibri" w:hAnsi="Calibri" w:cs="Times New Roman"/>
          <w:u w:val="single"/>
          <w:lang w:val="fr-BE"/>
        </w:rPr>
      </w:pPr>
      <w:r w:rsidRPr="00E51D56">
        <w:rPr>
          <w:rFonts w:ascii="Calibri" w:eastAsia="Calibri" w:hAnsi="Calibri" w:cs="Times New Roman"/>
          <w:u w:val="single"/>
          <w:lang w:val="fr"/>
        </w:rPr>
        <w:t>Quel est l’impact de la modification de l’annexe 15 sur notre circulaire pièces justificatives résidents – qu’en est-il des cases à cocher ?</w:t>
      </w:r>
    </w:p>
    <w:p w14:paraId="340BF2BA"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L’Office des étrangers nous a signalé que l’annexe 15 n’était pas correcte et qu’elle avait de nouveau été modifiée (le CIN nous avait communiqué que l’annexe ne contenait plus de cases, or il s’avère qu’elle contient toujours les mêmes cases). Ce point a été évoqué lors de la réunion de notre groupe de travail avec les O.A. du 19/11/2019, lors de laquelle une modification de la circulaire relative aux pièces justificatives à fournir pour l’inscription en qualité de résident a fait l’objet de discussions.</w:t>
      </w:r>
    </w:p>
    <w:p w14:paraId="496BABA7" w14:textId="77777777" w:rsidR="00F3014B" w:rsidRPr="00E51D56" w:rsidRDefault="00F3014B" w:rsidP="00F3014B">
      <w:pPr>
        <w:jc w:val="both"/>
        <w:rPr>
          <w:rFonts w:ascii="Calibri" w:eastAsia="Calibri" w:hAnsi="Calibri" w:cs="Times New Roman"/>
          <w:u w:val="single"/>
          <w:lang w:val="fr-BE"/>
        </w:rPr>
      </w:pPr>
      <w:r w:rsidRPr="00E51D56">
        <w:rPr>
          <w:rFonts w:ascii="Calibri" w:eastAsia="Calibri" w:hAnsi="Calibri" w:cs="Times New Roman"/>
          <w:u w:val="single"/>
          <w:lang w:val="fr"/>
        </w:rPr>
        <w:t>Peut-on utiliser une annexe 19 comme pièce justificative pour l’inscription en qualité de résident ?</w:t>
      </w:r>
    </w:p>
    <w:p w14:paraId="42A4F697"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 xml:space="preserve">L’annexe 19 ne peut pas être acceptée comme moyen de preuve pour l’inscription en qualité de résident. Notre circulaire ne fait pas référence à cette attestation dans la mesure où l’annexe 19 ne fournit aucune preuve de l’obtention d’un document de séjour (« attestation d’enregistrement prenant la forme d’une annexe 8 ou d’une carte E) dans notre pays – il s’agit </w:t>
      </w:r>
      <w:r w:rsidRPr="00E51D56">
        <w:rPr>
          <w:rFonts w:ascii="Calibri" w:eastAsia="Calibri" w:hAnsi="Calibri" w:cs="Times New Roman"/>
          <w:lang w:val="fr"/>
        </w:rPr>
        <w:lastRenderedPageBreak/>
        <w:t>uniquement d’une preuve servant à démontrer que la personne a introduit une demande auprès de la commune.</w:t>
      </w:r>
    </w:p>
    <w:p w14:paraId="4D94DF4A" w14:textId="77777777" w:rsidR="00F3014B" w:rsidRPr="00E51D56" w:rsidRDefault="00F3014B" w:rsidP="00F3014B">
      <w:pPr>
        <w:jc w:val="both"/>
        <w:rPr>
          <w:rFonts w:ascii="Calibri" w:eastAsia="Calibri" w:hAnsi="Calibri" w:cs="Times New Roman"/>
          <w:u w:val="single"/>
          <w:lang w:val="fr-BE"/>
        </w:rPr>
      </w:pPr>
      <w:r w:rsidRPr="00E51D56">
        <w:rPr>
          <w:rFonts w:ascii="Calibri" w:eastAsia="Calibri" w:hAnsi="Calibri" w:cs="Times New Roman"/>
          <w:u w:val="single"/>
          <w:lang w:val="fr"/>
        </w:rPr>
        <w:t xml:space="preserve">Peut-on remplacer l’attestation d’immatriculation par l’annexe 25 ou 26 lors de l’inscription en qualité de résident ? </w:t>
      </w:r>
    </w:p>
    <w:p w14:paraId="6346EAF4"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Selon l’Office des étrangers, la référence à « l’attestation d’immatriculation » dans notre circulaire, à savoir la partie III où nous faisons référence à l’utilisation d’autres attestations que celles de l’annexe 15 en cas de décision de reconnaissance ou d’octroi du Commissariat-général aux réfugiés et aux apatrides, devrait, de préférence, être remplacée par une référence à l’annexe 25 ou 26 (ou 25bis et 26bis) accompagnée d’une attestation de reconnaissance ou d’octroi du Commissariat-général. Ceci est repris dans notre projet de modification de la circulaire relative aux pièces justificatives pour la qualité de résident.</w:t>
      </w:r>
      <w:r w:rsidRPr="00E51D56">
        <w:rPr>
          <w:rFonts w:ascii="Calibri" w:eastAsia="Calibri" w:hAnsi="Calibri" w:cs="Times New Roman"/>
          <w:lang w:val="fr"/>
        </w:rPr>
        <w:tab/>
      </w:r>
    </w:p>
    <w:p w14:paraId="32B08103" w14:textId="77777777" w:rsidR="00F3014B" w:rsidRPr="00E51D56" w:rsidRDefault="00F3014B" w:rsidP="00F3014B">
      <w:pPr>
        <w:rPr>
          <w:rFonts w:ascii="Calibri" w:eastAsia="Calibri" w:hAnsi="Calibri" w:cs="Times New Roman"/>
          <w:u w:val="single"/>
          <w:lang w:val="fr-BE"/>
        </w:rPr>
      </w:pPr>
      <w:r w:rsidRPr="00E51D56">
        <w:rPr>
          <w:rFonts w:ascii="Calibri" w:eastAsia="Calibri" w:hAnsi="Calibri" w:cs="Times New Roman"/>
          <w:u w:val="single"/>
          <w:lang w:val="fr"/>
        </w:rPr>
        <w:t>L’inscription au Registre d’attente suffit-elle pour être inscrit comme résident ?</w:t>
      </w:r>
    </w:p>
    <w:p w14:paraId="385218EC" w14:textId="77777777" w:rsidR="00F3014B" w:rsidRPr="00E51D56" w:rsidRDefault="00F3014B" w:rsidP="00F3014B">
      <w:pPr>
        <w:jc w:val="both"/>
        <w:rPr>
          <w:rFonts w:ascii="Calibri" w:eastAsia="Calibri" w:hAnsi="Calibri" w:cs="Times New Roman"/>
          <w:lang w:val="fr"/>
        </w:rPr>
      </w:pPr>
      <w:r w:rsidRPr="00E51D56">
        <w:rPr>
          <w:rFonts w:ascii="Calibri" w:eastAsia="Calibri" w:hAnsi="Calibri" w:cs="Times New Roman"/>
          <w:lang w:val="fr"/>
        </w:rPr>
        <w:t xml:space="preserve">Non, les situations sont beaucoup trop complexes et certaines personnes finissent par se retrouver dans le Registre d’attente sans disposer d’un séjour légal en Belgique. </w:t>
      </w:r>
    </w:p>
    <w:p w14:paraId="4092DE7D" w14:textId="77777777" w:rsidR="00F3014B" w:rsidRPr="00E51D56" w:rsidRDefault="00F3014B" w:rsidP="00F3014B">
      <w:pPr>
        <w:jc w:val="both"/>
        <w:rPr>
          <w:rFonts w:ascii="Calibri" w:eastAsia="Calibri" w:hAnsi="Calibri" w:cs="Times New Roman"/>
          <w:lang w:val="fr"/>
        </w:rPr>
      </w:pPr>
      <w:r w:rsidRPr="00E51D56">
        <w:rPr>
          <w:rFonts w:ascii="Calibri" w:eastAsia="Calibri" w:hAnsi="Calibri" w:cs="Times New Roman"/>
          <w:lang w:val="fr"/>
        </w:rPr>
        <w:t>Pour information, sont inscrits dans le registre d’attente:</w:t>
      </w:r>
    </w:p>
    <w:p w14:paraId="5D6E498F" w14:textId="77777777" w:rsidR="00F3014B" w:rsidRPr="00E51D56" w:rsidRDefault="00F3014B" w:rsidP="00F3014B">
      <w:pPr>
        <w:pStyle w:val="Paragraphedeliste"/>
        <w:numPr>
          <w:ilvl w:val="0"/>
          <w:numId w:val="3"/>
        </w:numPr>
        <w:jc w:val="both"/>
        <w:rPr>
          <w:rFonts w:ascii="Calibri" w:eastAsia="Calibri" w:hAnsi="Calibri" w:cs="Times New Roman"/>
          <w:lang w:val="fr"/>
        </w:rPr>
      </w:pPr>
      <w:r w:rsidRPr="00E51D56">
        <w:rPr>
          <w:rFonts w:ascii="Calibri" w:eastAsia="Calibri" w:hAnsi="Calibri" w:cs="Times New Roman"/>
          <w:lang w:val="fr"/>
        </w:rPr>
        <w:t>les demandeurs de protection internationale ;</w:t>
      </w:r>
    </w:p>
    <w:p w14:paraId="6B08DF38" w14:textId="77777777" w:rsidR="00F3014B" w:rsidRPr="00E51D56" w:rsidRDefault="00F3014B" w:rsidP="00F3014B">
      <w:pPr>
        <w:pStyle w:val="Paragraphedeliste"/>
        <w:numPr>
          <w:ilvl w:val="0"/>
          <w:numId w:val="3"/>
        </w:numPr>
        <w:jc w:val="both"/>
        <w:rPr>
          <w:rFonts w:ascii="Calibri" w:eastAsia="Calibri" w:hAnsi="Calibri" w:cs="Times New Roman"/>
          <w:lang w:val="fr"/>
        </w:rPr>
      </w:pPr>
      <w:r w:rsidRPr="00E51D56">
        <w:rPr>
          <w:rFonts w:ascii="Calibri" w:eastAsia="Calibri" w:hAnsi="Calibri" w:cs="Times New Roman"/>
          <w:lang w:val="fr"/>
        </w:rPr>
        <w:t xml:space="preserve">les citoyens de l’Union introduisant une annexe 19 </w:t>
      </w:r>
    </w:p>
    <w:p w14:paraId="4E68533D" w14:textId="77777777" w:rsidR="00F3014B" w:rsidRPr="00E51D56" w:rsidRDefault="00F3014B" w:rsidP="00F3014B">
      <w:pPr>
        <w:pStyle w:val="Paragraphedeliste"/>
        <w:numPr>
          <w:ilvl w:val="0"/>
          <w:numId w:val="3"/>
        </w:numPr>
        <w:jc w:val="both"/>
        <w:rPr>
          <w:rFonts w:ascii="Calibri" w:eastAsia="Calibri" w:hAnsi="Calibri" w:cs="Times New Roman"/>
          <w:lang w:val="fr"/>
        </w:rPr>
      </w:pPr>
      <w:r w:rsidRPr="00E51D56">
        <w:rPr>
          <w:rFonts w:ascii="Calibri" w:eastAsia="Calibri" w:hAnsi="Calibri" w:cs="Times New Roman"/>
          <w:lang w:val="fr"/>
        </w:rPr>
        <w:t>les étrangers ne disposant pas d’un numéro national et désirant contracter mariage ou cohabitation légale (lutte contre les mariages de complaisance et les cohabitations légales de complaisances).</w:t>
      </w:r>
    </w:p>
    <w:p w14:paraId="134E3A95" w14:textId="77777777" w:rsidR="00F3014B" w:rsidRPr="00E51D56" w:rsidRDefault="00F3014B" w:rsidP="00F3014B">
      <w:pPr>
        <w:jc w:val="both"/>
        <w:rPr>
          <w:rFonts w:ascii="Calibri" w:eastAsia="Calibri" w:hAnsi="Calibri" w:cs="Times New Roman"/>
          <w:lang w:val="fr"/>
        </w:rPr>
      </w:pPr>
      <w:r w:rsidRPr="00E51D56">
        <w:rPr>
          <w:rFonts w:ascii="Calibri" w:eastAsia="Calibri" w:hAnsi="Calibri" w:cs="Times New Roman"/>
          <w:lang w:val="fr"/>
        </w:rPr>
        <w:t xml:space="preserve">La législation belge sur l’immigration stipule qu’un citoyen de l’UE qui introduit une demande de séjour de plus de trois mois (annexe 19) est immédiatement inscrit par la commune au Registre d’attente. Cela se fait sans contrôle préalable de l’adresse déclarée. Le contrôle de l’adresse est effectué après l’inscription au Registre d’attente. </w:t>
      </w:r>
    </w:p>
    <w:p w14:paraId="3B2A1D6D" w14:textId="77777777" w:rsidR="00F3014B" w:rsidRPr="00E51D56" w:rsidRDefault="00F3014B" w:rsidP="00F3014B">
      <w:pPr>
        <w:jc w:val="both"/>
        <w:rPr>
          <w:rFonts w:ascii="Calibri" w:eastAsia="Calibri" w:hAnsi="Calibri" w:cs="Times New Roman"/>
          <w:lang w:val="fr"/>
        </w:rPr>
      </w:pPr>
      <w:r w:rsidRPr="00E51D56">
        <w:rPr>
          <w:rFonts w:ascii="Calibri" w:eastAsia="Calibri" w:hAnsi="Calibri" w:cs="Times New Roman"/>
          <w:lang w:val="fr"/>
        </w:rPr>
        <w:t xml:space="preserve">Si le contrôle de résidence est positif, l’intéressé est inscrit au Registre des étrangers. Les déclarations successives de l’intéressé, dont le dossier se trouve à l’origine du présent dossier, font suite aux demandes de séjour consécutives introduites par ses soins auprès de l’Office des étrangers, lesquelles ont toutes abouti à des décisions mettant fin à son droit de séjour. </w:t>
      </w:r>
    </w:p>
    <w:p w14:paraId="59B7BA62" w14:textId="7A5E01D9"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 xml:space="preserve">Rien n’empêche un citoyen de l’UE d’introduire une nouvelle demande de séjour immédiatement après que l’Office des étrangers a mis fin à son droit de séjour. Un citoyen de l’UE ayant fait l’objet d’une décision de fin de séjour peut introduire une nouvelle demande d’autorisation de séjour. Le cas échéant, il sera de nouveau inscrit au registre d’attente et soumis à la procédure décrite ci-dessous. La carte électronique de type E (carte d’identité pour l’UE – étranger) </w:t>
      </w:r>
      <w:r w:rsidRPr="004F541D">
        <w:rPr>
          <w:rFonts w:ascii="Calibri" w:eastAsia="Calibri" w:hAnsi="Calibri" w:cs="Times New Roman"/>
          <w:lang w:val="fr"/>
        </w:rPr>
        <w:t>n’était plus valable le jour où la décision de fin de séjour a été prise par l’Office des étrangers. Cette carte, bien que physiquement valable du 02/09/2014 au 02/09/2019, était uniquement valable du 02/09</w:t>
      </w:r>
      <w:r w:rsidR="0070380D" w:rsidRPr="004F541D">
        <w:rPr>
          <w:rFonts w:ascii="Calibri" w:eastAsia="Calibri" w:hAnsi="Calibri" w:cs="Times New Roman"/>
          <w:lang w:val="fr"/>
        </w:rPr>
        <w:t>/</w:t>
      </w:r>
      <w:r w:rsidRPr="004F541D">
        <w:rPr>
          <w:rFonts w:ascii="Calibri" w:eastAsia="Calibri" w:hAnsi="Calibri" w:cs="Times New Roman"/>
          <w:lang w:val="fr"/>
        </w:rPr>
        <w:t>2014 au 07/07/2015. Suite aux autres demandes de séjour introduites, il devait recevoir un nouveau titre de séjour (annexe 8 ou carte E). À chaque fois, ces documents n’étaient valables que jusqu’à ce que</w:t>
      </w:r>
      <w:r w:rsidRPr="00E51D56">
        <w:rPr>
          <w:rFonts w:ascii="Calibri" w:eastAsia="Calibri" w:hAnsi="Calibri" w:cs="Times New Roman"/>
          <w:lang w:val="fr"/>
        </w:rPr>
        <w:t xml:space="preserve"> les décisions mettant fin au séjour soient prises.</w:t>
      </w:r>
    </w:p>
    <w:p w14:paraId="78762EFE" w14:textId="77777777" w:rsidR="00F3014B" w:rsidRPr="00E51D56" w:rsidRDefault="00F3014B" w:rsidP="00F3014B">
      <w:pPr>
        <w:tabs>
          <w:tab w:val="left" w:pos="720"/>
          <w:tab w:val="center" w:pos="4153"/>
          <w:tab w:val="right" w:pos="8306"/>
        </w:tabs>
        <w:spacing w:after="0" w:line="240" w:lineRule="auto"/>
        <w:rPr>
          <w:rFonts w:ascii="Arial" w:eastAsia="Times New Roman" w:hAnsi="Arial" w:cs="Times New Roman"/>
          <w:sz w:val="20"/>
          <w:szCs w:val="20"/>
          <w:lang w:val="fr-BE"/>
        </w:rPr>
      </w:pPr>
    </w:p>
    <w:p w14:paraId="68F5CDF7" w14:textId="77777777" w:rsidR="00F3014B" w:rsidRPr="00E51D56" w:rsidRDefault="00F3014B" w:rsidP="00F3014B">
      <w:pPr>
        <w:tabs>
          <w:tab w:val="left" w:pos="720"/>
          <w:tab w:val="center" w:pos="4153"/>
          <w:tab w:val="right" w:pos="8306"/>
        </w:tabs>
        <w:spacing w:after="0" w:line="240" w:lineRule="auto"/>
        <w:rPr>
          <w:rFonts w:ascii="Arial" w:eastAsia="Times New Roman" w:hAnsi="Arial" w:cs="Times New Roman"/>
          <w:sz w:val="20"/>
          <w:szCs w:val="20"/>
          <w:u w:val="single"/>
          <w:lang w:val="fr-FR"/>
        </w:rPr>
      </w:pPr>
      <w:r w:rsidRPr="00E51D56">
        <w:rPr>
          <w:rFonts w:ascii="Arial" w:eastAsia="Times New Roman" w:hAnsi="Arial" w:cs="Times New Roman"/>
          <w:sz w:val="20"/>
          <w:szCs w:val="20"/>
          <w:u w:val="single"/>
          <w:lang w:val="fr-FR"/>
        </w:rPr>
        <w:t>Les OA peuvent-ils délivrer une carte ISIplus aux bénéficiaires de l'accord de retrait du Brexit ?</w:t>
      </w:r>
    </w:p>
    <w:p w14:paraId="38EB7B23" w14:textId="77777777" w:rsidR="00F3014B" w:rsidRPr="00E51D56" w:rsidRDefault="00F3014B" w:rsidP="00F3014B">
      <w:pPr>
        <w:tabs>
          <w:tab w:val="left" w:pos="720"/>
          <w:tab w:val="center" w:pos="4153"/>
          <w:tab w:val="right" w:pos="8306"/>
        </w:tabs>
        <w:spacing w:after="0" w:line="240" w:lineRule="auto"/>
        <w:rPr>
          <w:rFonts w:ascii="Arial" w:eastAsia="Times New Roman" w:hAnsi="Arial" w:cs="Times New Roman"/>
          <w:sz w:val="20"/>
          <w:szCs w:val="20"/>
          <w:lang w:val="fr-BE"/>
        </w:rPr>
      </w:pPr>
    </w:p>
    <w:p w14:paraId="3CDFB19A" w14:textId="7A19226D" w:rsidR="00F3014B" w:rsidRPr="00E51D56" w:rsidRDefault="00F3014B" w:rsidP="00F3014B">
      <w:pPr>
        <w:tabs>
          <w:tab w:val="left" w:pos="720"/>
          <w:tab w:val="center" w:pos="4153"/>
          <w:tab w:val="right" w:pos="8306"/>
        </w:tabs>
        <w:spacing w:after="0" w:line="240" w:lineRule="auto"/>
        <w:rPr>
          <w:rFonts w:ascii="Calibri" w:eastAsia="Calibri" w:hAnsi="Calibri" w:cs="Times New Roman"/>
          <w:lang w:val="fr"/>
        </w:rPr>
      </w:pPr>
      <w:r w:rsidRPr="00E51D56">
        <w:rPr>
          <w:rFonts w:ascii="Calibri" w:eastAsia="Calibri" w:hAnsi="Calibri" w:cs="Times New Roman"/>
          <w:lang w:val="fr"/>
        </w:rPr>
        <w:t>Non, le principe est que si la personne concernée peut s'identifier comme assuré social sur la base d'une e-ID délivrée par le gouvernement belge, aucun ISI+ n'est délivré. Les cartes électroniques délivrées aux étrangers (type N, M, EU et EU+) disposent d'une puce de contact, comme la carte d'identité délivrée aux Belges, afin que les étrangers puissent utiliser l'e</w:t>
      </w:r>
      <w:r w:rsidR="00CF139B" w:rsidRPr="00E51D56">
        <w:rPr>
          <w:rFonts w:ascii="Calibri" w:eastAsia="Calibri" w:hAnsi="Calibri" w:cs="Times New Roman"/>
          <w:lang w:val="fr"/>
        </w:rPr>
        <w:t>G</w:t>
      </w:r>
      <w:r w:rsidRPr="00E51D56">
        <w:rPr>
          <w:rFonts w:ascii="Calibri" w:eastAsia="Calibri" w:hAnsi="Calibri" w:cs="Times New Roman"/>
          <w:lang w:val="fr"/>
        </w:rPr>
        <w:t>ov. En particulier, les personnes concernées (bénéficiaires de l'accord de retrait Brexit) ont droit à une carte M ou N</w:t>
      </w:r>
    </w:p>
    <w:p w14:paraId="6CAD2A26" w14:textId="77777777" w:rsidR="00F3014B" w:rsidRPr="00E51D56" w:rsidRDefault="00F3014B" w:rsidP="00F3014B">
      <w:pPr>
        <w:rPr>
          <w:lang w:val="fr-BE"/>
        </w:rPr>
      </w:pPr>
    </w:p>
    <w:p w14:paraId="4A36DF67" w14:textId="77777777" w:rsidR="00F3014B" w:rsidRPr="00E51D56" w:rsidRDefault="00F3014B" w:rsidP="008A1583">
      <w:pPr>
        <w:jc w:val="both"/>
        <w:rPr>
          <w:u w:val="single"/>
          <w:lang w:val="fr-FR"/>
        </w:rPr>
      </w:pPr>
      <w:r w:rsidRPr="00E51D56">
        <w:rPr>
          <w:u w:val="single"/>
          <w:lang w:val="fr-FR"/>
        </w:rPr>
        <w:t>Quelles sont les autres preuves possibles pour une inscription rétroactive comme résident si la preuve initiale est devenue invalide entre-temps ?</w:t>
      </w:r>
    </w:p>
    <w:p w14:paraId="362545F7" w14:textId="77777777" w:rsidR="00F3014B" w:rsidRPr="00E51D56" w:rsidRDefault="00F3014B" w:rsidP="008A1583">
      <w:pPr>
        <w:jc w:val="both"/>
        <w:rPr>
          <w:lang w:val="fr-FR"/>
        </w:rPr>
      </w:pPr>
      <w:r w:rsidRPr="00E51D56">
        <w:rPr>
          <w:lang w:val="fr-FR"/>
        </w:rPr>
        <w:t>Nous avons demandé avis au SPF intérieur (RN) et il en résulte qu’en principe, tous les documents/titres de séjour délivrés à un étranger admis ou autorisé au séjour de plus de trois mois sont enregistrés dans le TI 195 du registre national des personnes physiques. Les informations relatives aux cartes électroniques délivrées aux étrangers sont aussi enregistrées de manière plus détaillées dans le fichier central des cartes d’étranger (visé à l’article 6bis, de la loi du 19 juillet 1991 relative aux registres de la population, aux cartes d’identité, aux cartes des étrangers et aux documents de séjour).</w:t>
      </w:r>
    </w:p>
    <w:p w14:paraId="4EF9DC83" w14:textId="77777777" w:rsidR="00F3014B" w:rsidRPr="00E51D56" w:rsidRDefault="00F3014B" w:rsidP="008A1583">
      <w:pPr>
        <w:jc w:val="both"/>
        <w:rPr>
          <w:lang w:val="fr-FR"/>
        </w:rPr>
      </w:pPr>
    </w:p>
    <w:p w14:paraId="628D67E0" w14:textId="12FC0DD6" w:rsidR="00F3014B" w:rsidRPr="00E51D56" w:rsidRDefault="00F3014B" w:rsidP="008A1583">
      <w:pPr>
        <w:jc w:val="both"/>
        <w:rPr>
          <w:u w:val="single"/>
          <w:lang w:val="fr-FR"/>
        </w:rPr>
      </w:pPr>
      <w:r w:rsidRPr="00E51D56">
        <w:rPr>
          <w:u w:val="single"/>
          <w:lang w:val="fr-FR"/>
        </w:rPr>
        <w:t>Peut-on utiliser la carte K pour une in</w:t>
      </w:r>
      <w:r w:rsidR="008A1583" w:rsidRPr="00E51D56">
        <w:rPr>
          <w:u w:val="single"/>
          <w:lang w:val="fr-FR"/>
        </w:rPr>
        <w:t>s</w:t>
      </w:r>
      <w:r w:rsidRPr="00E51D56">
        <w:rPr>
          <w:u w:val="single"/>
          <w:lang w:val="fr-FR"/>
        </w:rPr>
        <w:t>cription en qualité de ré</w:t>
      </w:r>
      <w:r w:rsidR="008A1583" w:rsidRPr="00E51D56">
        <w:rPr>
          <w:u w:val="single"/>
          <w:lang w:val="fr-FR"/>
        </w:rPr>
        <w:t>s</w:t>
      </w:r>
      <w:r w:rsidRPr="00E51D56">
        <w:rPr>
          <w:u w:val="single"/>
          <w:lang w:val="fr-FR"/>
        </w:rPr>
        <w:t xml:space="preserve">ident ? </w:t>
      </w:r>
    </w:p>
    <w:p w14:paraId="65D6F7DB" w14:textId="2D0930CF" w:rsidR="00F3014B" w:rsidRPr="00E51D56" w:rsidRDefault="00F3014B" w:rsidP="008A1583">
      <w:pPr>
        <w:jc w:val="both"/>
        <w:rPr>
          <w:lang w:val="fr-FR"/>
        </w:rPr>
      </w:pPr>
      <w:r w:rsidRPr="00E51D56">
        <w:rPr>
          <w:lang w:val="fr-FR"/>
        </w:rPr>
        <w:t xml:space="preserve">La carte K (aussi appelée « carte d’établissement ») vient remplacer la carte C (aussi appelée « carte d’identité d’étranger »). Les changements de </w:t>
      </w:r>
      <w:r w:rsidR="008A1583" w:rsidRPr="00E51D56">
        <w:rPr>
          <w:lang w:val="fr-FR"/>
        </w:rPr>
        <w:t>lay-out</w:t>
      </w:r>
      <w:r w:rsidRPr="00E51D56">
        <w:rPr>
          <w:lang w:val="fr-FR"/>
        </w:rPr>
        <w:t xml:space="preserve"> et de dénomination n’ont pas pour effet d’en modifier la portée. Vous pouvez donc les considérer comme équivalente. Les cartes C qui étaient en circulation au moment de l’introduction des cartes K restent valables jusqu’à leur date de fin de validité. En effet, la carte C était valable 5 ans alors que la carte K est maintenant valable 10 ans. La carte D (aussi appelée « résident de longue durée – CE ») est pour sa part remplacée par la carte L (aussi appelée « résident de longue durée – UE »). Le raisonnement est le même au niveau de la portée et du délai de validité. Ces changements seront intégrés lors de la prochaine mise à jour de la circulaire OA 2021/139.</w:t>
      </w:r>
      <w:r w:rsidRPr="00E51D56">
        <w:rPr>
          <w:lang w:val="fr-FR"/>
        </w:rPr>
        <w:tab/>
      </w:r>
    </w:p>
    <w:p w14:paraId="02EF7397" w14:textId="77777777" w:rsidR="00F3014B" w:rsidRPr="00E51D56" w:rsidRDefault="00F3014B" w:rsidP="008A1583">
      <w:pPr>
        <w:jc w:val="both"/>
        <w:rPr>
          <w:lang w:val="fr-FR"/>
        </w:rPr>
      </w:pPr>
    </w:p>
    <w:p w14:paraId="373211F7" w14:textId="0CA75EB8" w:rsidR="00F3014B" w:rsidRPr="00E51D56" w:rsidRDefault="00F3014B" w:rsidP="008A1583">
      <w:pPr>
        <w:jc w:val="both"/>
        <w:rPr>
          <w:u w:val="single"/>
          <w:lang w:val="fr-FR"/>
        </w:rPr>
      </w:pPr>
      <w:r w:rsidRPr="00E51D56">
        <w:rPr>
          <w:u w:val="single"/>
          <w:lang w:val="fr-FR"/>
        </w:rPr>
        <w:t>Peut-on encore accepter la carte A pour une ins</w:t>
      </w:r>
      <w:r w:rsidR="008A1583" w:rsidRPr="00E51D56">
        <w:rPr>
          <w:u w:val="single"/>
          <w:lang w:val="fr-FR"/>
        </w:rPr>
        <w:t>c</w:t>
      </w:r>
      <w:r w:rsidRPr="00E51D56">
        <w:rPr>
          <w:u w:val="single"/>
          <w:lang w:val="fr-FR"/>
        </w:rPr>
        <w:t>ription en qualité de résident malgré le nouveau format ?</w:t>
      </w:r>
    </w:p>
    <w:p w14:paraId="16E80DB9" w14:textId="77777777" w:rsidR="00F3014B" w:rsidRPr="00E51D56" w:rsidRDefault="00F3014B" w:rsidP="008A1583">
      <w:pPr>
        <w:jc w:val="both"/>
        <w:rPr>
          <w:lang w:val="fr-FR"/>
        </w:rPr>
      </w:pPr>
      <w:r w:rsidRPr="00E51D56">
        <w:rPr>
          <w:lang w:val="fr-FR"/>
        </w:rPr>
        <w:t>Oui</w:t>
      </w:r>
    </w:p>
    <w:p w14:paraId="5F632648" w14:textId="6DEB826F" w:rsidR="00F3014B" w:rsidRPr="00E51D56" w:rsidRDefault="00F3014B" w:rsidP="008A1583">
      <w:pPr>
        <w:jc w:val="both"/>
        <w:rPr>
          <w:lang w:val="fr-FR"/>
        </w:rPr>
      </w:pPr>
      <w:r w:rsidRPr="00E51D56">
        <w:rPr>
          <w:lang w:val="fr-FR"/>
        </w:rPr>
        <w:t xml:space="preserve">Le changement de </w:t>
      </w:r>
      <w:r w:rsidR="008A1583" w:rsidRPr="00E51D56">
        <w:rPr>
          <w:lang w:val="fr-FR"/>
        </w:rPr>
        <w:t>lay-out</w:t>
      </w:r>
      <w:r w:rsidRPr="00E51D56">
        <w:rPr>
          <w:lang w:val="fr-FR"/>
        </w:rPr>
        <w:t xml:space="preserve"> de la carte A ne modifie aucunement sa portée juridique et n’impacte pas sa durée de validité, qui correspond toujours à la durée de l’admission au séjour.  </w:t>
      </w:r>
    </w:p>
    <w:p w14:paraId="79C07B35" w14:textId="77777777" w:rsidR="00F3014B" w:rsidRPr="00E51D56" w:rsidRDefault="00F3014B" w:rsidP="00F3014B">
      <w:pPr>
        <w:rPr>
          <w:lang w:val="fr-FR"/>
        </w:rPr>
      </w:pPr>
      <w:r w:rsidRPr="00E51D56">
        <w:rPr>
          <w:lang w:val="fr-FR"/>
        </w:rPr>
        <w:t>Vous pouvez dès lors toujours l’accepter pour une inscription en qualité de résident.</w:t>
      </w:r>
    </w:p>
    <w:p w14:paraId="6843A566" w14:textId="77777777" w:rsidR="00F3014B" w:rsidRPr="00E51D56" w:rsidRDefault="00F3014B" w:rsidP="008A1583">
      <w:pPr>
        <w:jc w:val="both"/>
        <w:rPr>
          <w:lang w:val="fr-FR"/>
        </w:rPr>
      </w:pPr>
      <w:r w:rsidRPr="00E51D56">
        <w:rPr>
          <w:lang w:val="fr-FR"/>
        </w:rPr>
        <w:t>Ces changements seront intégrés dans la prochaine mise à jour de la circulaire.</w:t>
      </w:r>
    </w:p>
    <w:p w14:paraId="0ED91665" w14:textId="72AB2A00" w:rsidR="00F3014B" w:rsidRPr="00E51D56" w:rsidRDefault="00F3014B" w:rsidP="008A1583">
      <w:pPr>
        <w:jc w:val="both"/>
        <w:rPr>
          <w:u w:val="single"/>
          <w:lang w:val="fr-FR"/>
        </w:rPr>
      </w:pPr>
      <w:r w:rsidRPr="004F541D">
        <w:rPr>
          <w:u w:val="single"/>
          <w:lang w:val="fr-FR"/>
        </w:rPr>
        <w:t>L'annexe 8ter constitue</w:t>
      </w:r>
      <w:r w:rsidR="0070380D" w:rsidRPr="004F541D">
        <w:rPr>
          <w:u w:val="single"/>
          <w:lang w:val="fr-FR"/>
        </w:rPr>
        <w:t>-</w:t>
      </w:r>
      <w:r w:rsidRPr="004F541D">
        <w:rPr>
          <w:u w:val="single"/>
          <w:lang w:val="fr-FR"/>
        </w:rPr>
        <w:t>t</w:t>
      </w:r>
      <w:r w:rsidR="0070380D" w:rsidRPr="004F541D">
        <w:rPr>
          <w:u w:val="single"/>
          <w:lang w:val="fr-FR"/>
        </w:rPr>
        <w:t>-</w:t>
      </w:r>
      <w:r w:rsidRPr="004F541D">
        <w:rPr>
          <w:u w:val="single"/>
          <w:lang w:val="fr-FR"/>
        </w:rPr>
        <w:t>elle une preuve suffisante</w:t>
      </w:r>
      <w:r w:rsidRPr="00E51D56">
        <w:rPr>
          <w:u w:val="single"/>
          <w:lang w:val="fr-FR"/>
        </w:rPr>
        <w:t xml:space="preserve"> pour l'inscription en qualité de résident</w:t>
      </w:r>
    </w:p>
    <w:p w14:paraId="393CDD29" w14:textId="77777777" w:rsidR="00F3014B" w:rsidRPr="00E51D56" w:rsidRDefault="00F3014B" w:rsidP="008A1583">
      <w:pPr>
        <w:jc w:val="both"/>
        <w:rPr>
          <w:lang w:val="fr-FR"/>
        </w:rPr>
      </w:pPr>
      <w:r w:rsidRPr="00E51D56">
        <w:rPr>
          <w:lang w:val="fr-FR"/>
        </w:rPr>
        <w:lastRenderedPageBreak/>
        <w:t>Les documents de séjour délivrés aux citoyens de l’Union disposant d’un séjour légal de plus de trois mois ont subi plusieurs modifications :</w:t>
      </w:r>
    </w:p>
    <w:p w14:paraId="6EFD37C5" w14:textId="77777777" w:rsidR="00F3014B" w:rsidRPr="00E51D56" w:rsidRDefault="00F3014B" w:rsidP="008A1583">
      <w:pPr>
        <w:jc w:val="both"/>
        <w:rPr>
          <w:lang w:val="fr-FR"/>
        </w:rPr>
      </w:pPr>
      <w:r w:rsidRPr="00E51D56">
        <w:rPr>
          <w:lang w:val="fr-FR"/>
        </w:rPr>
        <w:t>• les cartes E et E+ sont devenues les cartes EU et EU+ (même valeur) ;</w:t>
      </w:r>
    </w:p>
    <w:p w14:paraId="03518485" w14:textId="3078B23F" w:rsidR="00F3014B" w:rsidRPr="00E51D56" w:rsidRDefault="00F3014B" w:rsidP="008A1583">
      <w:pPr>
        <w:jc w:val="both"/>
        <w:rPr>
          <w:lang w:val="fr-FR"/>
        </w:rPr>
      </w:pPr>
      <w:r w:rsidRPr="00E51D56">
        <w:rPr>
          <w:lang w:val="fr-FR"/>
        </w:rPr>
        <w:t xml:space="preserve">•les annexes 8 et 8bis sont </w:t>
      </w:r>
      <w:r w:rsidR="008A1583" w:rsidRPr="00E51D56">
        <w:rPr>
          <w:lang w:val="fr-FR"/>
        </w:rPr>
        <w:t>abrogées ;</w:t>
      </w:r>
      <w:r w:rsidRPr="00E51D56">
        <w:rPr>
          <w:lang w:val="fr-FR"/>
        </w:rPr>
        <w:t xml:space="preserve"> et</w:t>
      </w:r>
    </w:p>
    <w:p w14:paraId="695590D8" w14:textId="77777777" w:rsidR="00F3014B" w:rsidRPr="00E51D56" w:rsidRDefault="00F3014B" w:rsidP="008A1583">
      <w:pPr>
        <w:jc w:val="both"/>
        <w:rPr>
          <w:lang w:val="fr-FR"/>
        </w:rPr>
      </w:pPr>
      <w:r w:rsidRPr="00E51D56">
        <w:rPr>
          <w:lang w:val="fr-FR"/>
        </w:rPr>
        <w:t>• création des annexes 8ter et 8quater.</w:t>
      </w:r>
    </w:p>
    <w:p w14:paraId="12A2A6F5" w14:textId="77777777" w:rsidR="00F3014B" w:rsidRPr="00E51D56" w:rsidRDefault="00F3014B" w:rsidP="008A1583">
      <w:pPr>
        <w:jc w:val="both"/>
        <w:rPr>
          <w:lang w:val="fr-FR"/>
        </w:rPr>
      </w:pPr>
      <w:r w:rsidRPr="00E51D56">
        <w:rPr>
          <w:lang w:val="fr-FR"/>
        </w:rPr>
        <w:t>Les cartes E et E+ ainsi que les annexes 8 et 8bis qui sont en circulation restent pour le moment valables.</w:t>
      </w:r>
    </w:p>
    <w:p w14:paraId="04EBD27C" w14:textId="77777777" w:rsidR="00F3014B" w:rsidRPr="00E51D56" w:rsidRDefault="00F3014B" w:rsidP="008A1583">
      <w:pPr>
        <w:jc w:val="both"/>
        <w:rPr>
          <w:lang w:val="fr-FR"/>
        </w:rPr>
      </w:pPr>
      <w:r w:rsidRPr="00E51D56">
        <w:rPr>
          <w:lang w:val="fr-FR"/>
        </w:rPr>
        <w:t>En ce qui concerne l’annexe 8ter, elle a la même valeur que la carte EU. Il s’agit d’un document provisoire délivré dans l’attente de la délivrance de la carte EU. La carte EU étant une carte électronique, impossible de la délivrer immédiatement et donc, l’annexe 8ter permet aux citoyens de l’Union d’avoir un document de séjour provisoire dans l’attente de la délivrance de leur carte.</w:t>
      </w:r>
    </w:p>
    <w:p w14:paraId="65F68B7A" w14:textId="77777777" w:rsidR="00F3014B" w:rsidRPr="00E51D56" w:rsidRDefault="00F3014B" w:rsidP="008A1583">
      <w:pPr>
        <w:jc w:val="both"/>
        <w:rPr>
          <w:lang w:val="fr-FR"/>
        </w:rPr>
      </w:pPr>
      <w:r w:rsidRPr="00E51D56">
        <w:rPr>
          <w:lang w:val="fr-FR"/>
        </w:rPr>
        <w:t>Idem pour l’annexe 8quater qui a la même valeur que la carte EU+.</w:t>
      </w:r>
    </w:p>
    <w:p w14:paraId="3E51BC82" w14:textId="77777777" w:rsidR="00F3014B" w:rsidRPr="00E51D56" w:rsidRDefault="00F3014B" w:rsidP="008A1583">
      <w:pPr>
        <w:jc w:val="both"/>
        <w:rPr>
          <w:lang w:val="fr-FR"/>
        </w:rPr>
      </w:pPr>
    </w:p>
    <w:p w14:paraId="60B9A45C" w14:textId="77777777" w:rsidR="00F3014B" w:rsidRPr="00E51D56" w:rsidRDefault="00F3014B" w:rsidP="008A1583">
      <w:pPr>
        <w:jc w:val="both"/>
        <w:rPr>
          <w:u w:val="single"/>
          <w:lang w:val="fr-FR"/>
        </w:rPr>
      </w:pPr>
      <w:r w:rsidRPr="00E51D56">
        <w:rPr>
          <w:u w:val="single"/>
          <w:lang w:val="fr-FR"/>
        </w:rPr>
        <w:t>Les assurés inscrits au registre des étrangers doivent-ils encore introduire les attestations de la circulaire sur les pièces justificatives pour résidents ?</w:t>
      </w:r>
    </w:p>
    <w:p w14:paraId="4CE35528" w14:textId="77777777" w:rsidR="00F3014B" w:rsidRPr="00E51D56" w:rsidRDefault="00F3014B" w:rsidP="008A1583">
      <w:pPr>
        <w:jc w:val="both"/>
        <w:rPr>
          <w:lang w:val="fr-FR"/>
        </w:rPr>
      </w:pPr>
      <w:r w:rsidRPr="00E51D56">
        <w:rPr>
          <w:lang w:val="fr-FR"/>
        </w:rPr>
        <w:t>Oui, pour chacune des 4 catégories de personnes pouvant être inscrites comme résidents et qui sont mentionnées dans la circulaire sur les pièces justificatives pour résidents du SCA, des attestations doivent être transmises aux mutualités.</w:t>
      </w:r>
    </w:p>
    <w:p w14:paraId="4846C369" w14:textId="4E4F7724" w:rsidR="00F3014B" w:rsidRPr="00E51D56" w:rsidRDefault="00F3014B" w:rsidP="008A1583">
      <w:pPr>
        <w:jc w:val="both"/>
        <w:rPr>
          <w:lang w:val="fr-FR"/>
        </w:rPr>
      </w:pPr>
      <w:r w:rsidRPr="00E51D56">
        <w:rPr>
          <w:lang w:val="fr-FR"/>
        </w:rPr>
        <w:t>Dans 3 des 4 catégories, il s’agit justement d’assurés qui figurent au registre des étrangers. Ceci est explicitement mentionné dans la circulaire.</w:t>
      </w:r>
    </w:p>
    <w:p w14:paraId="599A6E01" w14:textId="147AF29C" w:rsidR="002639F2" w:rsidRPr="00E51D56" w:rsidRDefault="002639F2" w:rsidP="008A1583">
      <w:pPr>
        <w:jc w:val="both"/>
        <w:rPr>
          <w:lang w:val="fr-FR"/>
        </w:rPr>
      </w:pPr>
    </w:p>
    <w:p w14:paraId="4BBA00C5" w14:textId="17424E34" w:rsidR="002639F2" w:rsidRPr="00E51D56" w:rsidRDefault="002639F2" w:rsidP="008A1583">
      <w:pPr>
        <w:jc w:val="both"/>
        <w:rPr>
          <w:u w:val="single"/>
          <w:lang w:val="fr-FR"/>
        </w:rPr>
      </w:pPr>
      <w:bookmarkStart w:id="0" w:name="_Hlk110408075"/>
      <w:r w:rsidRPr="00E51D56">
        <w:rPr>
          <w:u w:val="single"/>
          <w:lang w:val="fr-FR"/>
        </w:rPr>
        <w:t>Les carte I (ICT) et J (ICT mobile) peuvent-elles être acceptée</w:t>
      </w:r>
      <w:r w:rsidR="007578B7" w:rsidRPr="00E51D56">
        <w:rPr>
          <w:u w:val="single"/>
          <w:lang w:val="fr-FR"/>
        </w:rPr>
        <w:t>s</w:t>
      </w:r>
      <w:r w:rsidRPr="00E51D56">
        <w:rPr>
          <w:u w:val="single"/>
          <w:lang w:val="fr-FR"/>
        </w:rPr>
        <w:t xml:space="preserve"> pour une inscription en qualité de résident dans l’ASSI?</w:t>
      </w:r>
    </w:p>
    <w:p w14:paraId="059BF31F" w14:textId="77777777" w:rsidR="002639F2" w:rsidRPr="00E51D56" w:rsidRDefault="002639F2" w:rsidP="002639F2">
      <w:pPr>
        <w:rPr>
          <w:lang w:val="fr-FR" w:eastAsia="en-GB"/>
        </w:rPr>
      </w:pPr>
      <w:r w:rsidRPr="00E51D56">
        <w:rPr>
          <w:lang w:val="fr-FR" w:eastAsia="en-GB"/>
        </w:rPr>
        <w:t>Le Rapport au Roi relatif à l’arrêté royal du 26 novembre 2021 (modifiant l’arrêté royal du 8 octobre 1981 sur l’accès au territoire, le séjour, l’établissement et l’éloignement des étrangers, en ce qui concerne les personnes faisant l’objet d’un transfert temporaire intragroupe et relatif à l’article 69duodecies), stipule ce qui suit :</w:t>
      </w:r>
    </w:p>
    <w:p w14:paraId="4ACA8F54" w14:textId="77777777" w:rsidR="002639F2" w:rsidRPr="00E51D56" w:rsidRDefault="002639F2" w:rsidP="002639F2">
      <w:pPr>
        <w:rPr>
          <w:i/>
          <w:iCs/>
          <w:lang w:val="fr-FR" w:eastAsia="en-GB"/>
        </w:rPr>
      </w:pPr>
      <w:r w:rsidRPr="00E51D56">
        <w:rPr>
          <w:lang w:val="fr-FR" w:eastAsia="en-GB"/>
        </w:rPr>
        <w:t>                               « </w:t>
      </w:r>
      <w:r w:rsidRPr="00E51D56">
        <w:rPr>
          <w:i/>
          <w:iCs/>
          <w:lang w:val="fr-FR" w:eastAsia="en-GB"/>
        </w:rPr>
        <w:t>La section 3 prévoit des modalités de preuve particulières.</w:t>
      </w:r>
    </w:p>
    <w:p w14:paraId="57E963A7" w14:textId="77777777" w:rsidR="002639F2" w:rsidRPr="00E51D56" w:rsidRDefault="002639F2" w:rsidP="002639F2">
      <w:pPr>
        <w:ind w:left="1416"/>
        <w:rPr>
          <w:i/>
          <w:iCs/>
          <w:lang w:val="fr-FR" w:eastAsia="en-GB"/>
        </w:rPr>
      </w:pPr>
      <w:r w:rsidRPr="00E51D56">
        <w:rPr>
          <w:i/>
          <w:iCs/>
          <w:lang w:val="fr-FR" w:eastAsia="en-GB"/>
        </w:rPr>
        <w:t>Elles portent sur les moyens d’existence requis, l’objet du séjour et l’assurance maladie.</w:t>
      </w:r>
    </w:p>
    <w:p w14:paraId="2FA0EB37" w14:textId="77777777" w:rsidR="002639F2" w:rsidRPr="00E51D56" w:rsidRDefault="002639F2" w:rsidP="002639F2">
      <w:pPr>
        <w:ind w:left="1416"/>
        <w:rPr>
          <w:i/>
          <w:iCs/>
          <w:lang w:val="fr-FR" w:eastAsia="en-GB"/>
        </w:rPr>
      </w:pPr>
      <w:r w:rsidRPr="00E51D56">
        <w:rPr>
          <w:i/>
          <w:iCs/>
          <w:lang w:val="fr-FR" w:eastAsia="en-GB"/>
        </w:rPr>
        <w:t>La personne faisant l’objet d’un transfert intragroupe qui introduit une demande de long séjour est soumise à la procédure unique. Le ou les contrat(s) de travail qu’elle produit à l’appui de sa demande devront permettre d’attester l’objet de son séjour et ses moyens d’existence suffisants.</w:t>
      </w:r>
    </w:p>
    <w:p w14:paraId="083B6678" w14:textId="3D3B4529" w:rsidR="002639F2" w:rsidRPr="00E51D56" w:rsidRDefault="002639F2" w:rsidP="002639F2">
      <w:pPr>
        <w:ind w:left="1416"/>
        <w:rPr>
          <w:lang w:val="fr-FR" w:eastAsia="en-GB"/>
        </w:rPr>
      </w:pPr>
      <w:r w:rsidRPr="00E51D56">
        <w:rPr>
          <w:i/>
          <w:iCs/>
          <w:lang w:val="fr-FR" w:eastAsia="en-GB"/>
        </w:rPr>
        <w:lastRenderedPageBreak/>
        <w:t>La personne concernée doit prouver qu’elle est couverte par une assurance maladie. Cette assurance maladie doit couvrir tous les risques en Belgique pour lesquelles les propres ressortissants sont couvert pendant les périodes où cette couverture et le droit aux prestations correspondant ne sont pas fournis suite au travail effectué en Belgique ou résultant d’un tel travail. Il peut s’agir d’une police d’assurance privée ou d’une police d’assurance mutuelle dans le pays d’origine offrant une couverture mondiale</w:t>
      </w:r>
      <w:r w:rsidRPr="00E51D56">
        <w:rPr>
          <w:lang w:val="fr-FR" w:eastAsia="en-GB"/>
        </w:rPr>
        <w:t>. »</w:t>
      </w:r>
    </w:p>
    <w:p w14:paraId="70F1ACBF" w14:textId="25D90D43" w:rsidR="002639F2" w:rsidRPr="00E51D56" w:rsidRDefault="002639F2" w:rsidP="002639F2">
      <w:pPr>
        <w:rPr>
          <w:lang w:val="fr-FR" w:eastAsia="en-GB"/>
        </w:rPr>
      </w:pPr>
      <w:r w:rsidRPr="00E51D56">
        <w:rPr>
          <w:lang w:val="fr-FR" w:eastAsia="en-GB"/>
        </w:rPr>
        <w:t>L’article 13 de l’arrêté royal stipule ce qui suit :</w:t>
      </w:r>
    </w:p>
    <w:p w14:paraId="027D1C91" w14:textId="77777777" w:rsidR="002639F2" w:rsidRPr="00E51D56" w:rsidRDefault="002639F2" w:rsidP="002639F2">
      <w:pPr>
        <w:ind w:left="708" w:firstLine="708"/>
        <w:rPr>
          <w:i/>
          <w:iCs/>
          <w:lang w:val="fr-FR" w:eastAsia="en-GB"/>
        </w:rPr>
      </w:pPr>
      <w:r w:rsidRPr="00E51D56">
        <w:rPr>
          <w:i/>
          <w:iCs/>
          <w:lang w:val="fr-FR" w:eastAsia="en-GB"/>
        </w:rPr>
        <w:t>Art. 13. Dans le titre II, du même arrêté, il est inséré un chapitre Vquinquies, comportant les articles 105/43 à 105/68, rédigés comme suit :</w:t>
      </w:r>
    </w:p>
    <w:p w14:paraId="14BD9FD9" w14:textId="77777777" w:rsidR="002639F2" w:rsidRPr="00E51D56" w:rsidRDefault="002639F2" w:rsidP="002639F2">
      <w:pPr>
        <w:rPr>
          <w:i/>
          <w:iCs/>
          <w:lang w:val="fr-FR" w:eastAsia="en-GB"/>
        </w:rPr>
      </w:pPr>
      <w:r w:rsidRPr="00E51D56">
        <w:rPr>
          <w:i/>
          <w:iCs/>
          <w:lang w:val="fr-FR" w:eastAsia="en-GB"/>
        </w:rPr>
        <w:t>                               (…)</w:t>
      </w:r>
    </w:p>
    <w:p w14:paraId="49AA1203" w14:textId="77777777" w:rsidR="002639F2" w:rsidRPr="00E51D56" w:rsidRDefault="002639F2" w:rsidP="002639F2">
      <w:pPr>
        <w:ind w:left="708" w:firstLine="708"/>
        <w:rPr>
          <w:i/>
          <w:iCs/>
          <w:lang w:val="fr-FR" w:eastAsia="en-GB"/>
        </w:rPr>
      </w:pPr>
      <w:r w:rsidRPr="00E51D56">
        <w:rPr>
          <w:i/>
          <w:iCs/>
          <w:lang w:val="fr-FR" w:eastAsia="en-GB"/>
        </w:rPr>
        <w:t>Sous-section 2. - Assurance-maladie</w:t>
      </w:r>
    </w:p>
    <w:p w14:paraId="1C81E731" w14:textId="77777777" w:rsidR="002639F2" w:rsidRPr="00E51D56" w:rsidRDefault="002639F2" w:rsidP="002639F2">
      <w:pPr>
        <w:ind w:left="708" w:firstLine="708"/>
        <w:rPr>
          <w:i/>
          <w:iCs/>
          <w:lang w:val="fr-FR" w:eastAsia="en-GB"/>
        </w:rPr>
      </w:pPr>
      <w:r w:rsidRPr="00E51D56">
        <w:rPr>
          <w:i/>
          <w:iCs/>
          <w:lang w:val="fr-FR" w:eastAsia="en-GB"/>
        </w:rPr>
        <w:t>Art. 105/68. La preuve que le ressortissant d’un pays tiers dispose de l’assurance-maladie requise est fournie soit par :</w:t>
      </w:r>
    </w:p>
    <w:p w14:paraId="3E8EFE12" w14:textId="77777777" w:rsidR="002639F2" w:rsidRPr="00E51D56" w:rsidRDefault="002639F2" w:rsidP="002639F2">
      <w:pPr>
        <w:ind w:left="1416"/>
        <w:rPr>
          <w:i/>
          <w:iCs/>
          <w:lang w:val="fr-FR" w:eastAsia="en-GB"/>
        </w:rPr>
      </w:pPr>
      <w:r w:rsidRPr="00E51D56">
        <w:rPr>
          <w:i/>
          <w:iCs/>
          <w:lang w:val="fr-FR" w:eastAsia="en-GB"/>
        </w:rPr>
        <w:t>1° Un document, établi par un organisme assureur, attestant que l'intéressé(e) dispose, pour toute la durée des périodes de séjour en Belgique, d'une assurance-maladie couvrant tous les risques auxquels est soumis un assuré de l’assurance soins de santé belge en vertu de son occupation ;</w:t>
      </w:r>
    </w:p>
    <w:p w14:paraId="0EB5C605" w14:textId="77777777" w:rsidR="002639F2" w:rsidRPr="00E51D56" w:rsidRDefault="002639F2" w:rsidP="002639F2">
      <w:pPr>
        <w:ind w:left="1416"/>
        <w:rPr>
          <w:i/>
          <w:iCs/>
          <w:lang w:val="fr-FR" w:eastAsia="en-GB"/>
        </w:rPr>
      </w:pPr>
      <w:r w:rsidRPr="00E51D56">
        <w:rPr>
          <w:i/>
          <w:iCs/>
          <w:lang w:val="fr-FR" w:eastAsia="en-GB"/>
        </w:rPr>
        <w:t>2° Un document, établi en application d’une convention internationale de sécurité sociale qui couvre également l’assurance maladie, attestant que l’intéressé(e) a droit aux soins médicaux en Belgique à la charge de l’assurance médicale du pays avec lequel la convention internationale de sécurité sociale a été conclue ;</w:t>
      </w:r>
    </w:p>
    <w:p w14:paraId="66E51813" w14:textId="00100D18" w:rsidR="002639F2" w:rsidRPr="00E51D56" w:rsidRDefault="002639F2" w:rsidP="002639F2">
      <w:pPr>
        <w:ind w:left="1416"/>
        <w:rPr>
          <w:i/>
          <w:iCs/>
          <w:lang w:val="fr-FR" w:eastAsia="en-GB"/>
        </w:rPr>
      </w:pPr>
      <w:r w:rsidRPr="00E51D56">
        <w:rPr>
          <w:i/>
          <w:iCs/>
          <w:lang w:val="fr-FR" w:eastAsia="en-GB"/>
        </w:rPr>
        <w:t>3° Un document, établi par l’employeur, attestant que l’employeur prend en charge tous les frais médicaux qui sont couverts par l’assurance soins de santé belge en Belgique, et ce pour toute la durée des périodes de séjour en Belgique.</w:t>
      </w:r>
    </w:p>
    <w:p w14:paraId="02D31396" w14:textId="77777777" w:rsidR="002639F2" w:rsidRPr="00E51D56" w:rsidRDefault="002639F2" w:rsidP="002639F2">
      <w:pPr>
        <w:ind w:left="1416"/>
        <w:rPr>
          <w:i/>
          <w:iCs/>
          <w:lang w:val="fr-FR" w:eastAsia="en-GB"/>
        </w:rPr>
      </w:pPr>
    </w:p>
    <w:p w14:paraId="195F4702" w14:textId="76A30801" w:rsidR="002639F2" w:rsidRPr="00E51D56" w:rsidRDefault="002639F2" w:rsidP="002639F2">
      <w:pPr>
        <w:rPr>
          <w:lang w:val="fr-FR"/>
        </w:rPr>
      </w:pPr>
      <w:r w:rsidRPr="00E51D56">
        <w:rPr>
          <w:lang w:val="fr-FR"/>
        </w:rPr>
        <w:t xml:space="preserve">L’hypothèse envisagée ci-dessus est celle des travailleurs ressortissants d’un Etat tiers qui font l’objet d’un transfert temporaire intra-groupe vers un Etat UE (= travailleurs ICT). Par conséquent, il s’agit de travailleurs détachés d’un pays hors UE (par exemple, un ressortissant britannique qui réside au UK et est employé par une entreprise établie au UK), qui viennent exercer leurs activités dans un Etat UE (par exemple, en Belgique), en restant assujettis à leur État d’envoi (par exemple, l’employeur est basé au UK et envoie un salarié travailler dans une filiale située en Belgique pour une mission de maximum 3 ans). Ces personnes doivent disposer d’une carte I (ou d’une carte J, s’ils ont d’abord été détachés dans un autre Etat UE), pour avoir le droit d’entrer/rester sur le territoire belge durant cette période (résidence/séjour, de maximum 3 ans). Or, avant d’être autorisé à entrer/rester sur le territoire belge (et d’être en possession d’une carte I ou J), la personne qui fait l’objet d’un </w:t>
      </w:r>
      <w:r w:rsidRPr="00E51D56">
        <w:rPr>
          <w:lang w:val="fr-FR"/>
        </w:rPr>
        <w:lastRenderedPageBreak/>
        <w:t>transfert intra-groupe doit présenter une preuve d’assurance maladie (cf. l’arrêté royal du 26 novembre 2021 et le rapport au roi y afférent).</w:t>
      </w:r>
    </w:p>
    <w:p w14:paraId="7733D564" w14:textId="77777777" w:rsidR="002639F2" w:rsidRPr="00E51D56" w:rsidRDefault="002639F2" w:rsidP="002639F2">
      <w:pPr>
        <w:rPr>
          <w:lang w:val="fr-FR"/>
        </w:rPr>
      </w:pPr>
      <w:r w:rsidRPr="00E51D56">
        <w:rPr>
          <w:lang w:val="fr-FR"/>
        </w:rPr>
        <w:t xml:space="preserve">Par conséquent, d’un point de vue « titre de séjour », les cartes I et J permettent d’installer la résidence en Belgique au RNPP pour une durée limitée. </w:t>
      </w:r>
    </w:p>
    <w:p w14:paraId="1A8E49FA" w14:textId="77777777" w:rsidR="002639F2" w:rsidRPr="00E51D56" w:rsidRDefault="002639F2" w:rsidP="002639F2">
      <w:pPr>
        <w:rPr>
          <w:lang w:val="fr-FR"/>
        </w:rPr>
      </w:pPr>
      <w:r w:rsidRPr="00E51D56">
        <w:rPr>
          <w:lang w:val="fr-FR"/>
        </w:rPr>
        <w:t>Néanmoins, d’un point de vue « accès à l’AMI belge », il ne nous semble pas possible d’être inscrit comme « résident » (au sens de l’article 32, alinéa 1</w:t>
      </w:r>
      <w:r w:rsidRPr="00E51D56">
        <w:rPr>
          <w:vertAlign w:val="superscript"/>
          <w:lang w:val="fr-FR"/>
        </w:rPr>
        <w:t>er</w:t>
      </w:r>
      <w:r w:rsidRPr="00E51D56">
        <w:rPr>
          <w:lang w:val="fr-FR"/>
        </w:rPr>
        <w:t>, 15°, de la loi coordonnée du 14 juillet 1994) sur la base d’une carte I ou d’une carte J. D’une part, le principe même du détachement est de rester assujetti à la sécurité sociale de l’État d’envoi (c’est-à-dire, UK dans mon exemple). D’autre part, l’article 32, alinéa 1</w:t>
      </w:r>
      <w:r w:rsidRPr="00E51D56">
        <w:rPr>
          <w:vertAlign w:val="superscript"/>
          <w:lang w:val="fr-FR"/>
        </w:rPr>
        <w:t>er</w:t>
      </w:r>
      <w:r w:rsidRPr="00E51D56">
        <w:rPr>
          <w:lang w:val="fr-FR"/>
        </w:rPr>
        <w:t xml:space="preserve">, 15°, de la loi coordonnée du 14 juillet 1994, exclut le bénéfice de la qualité de « résident » si la personne peut bénéficier de l’assurance maladie publique d’un autre État. </w:t>
      </w:r>
    </w:p>
    <w:p w14:paraId="4D5D2EEF" w14:textId="2D1AC9FC" w:rsidR="002639F2" w:rsidRPr="00E51D56" w:rsidRDefault="002639F2" w:rsidP="002639F2">
      <w:pPr>
        <w:rPr>
          <w:lang w:val="fr-FR"/>
        </w:rPr>
      </w:pPr>
      <w:r w:rsidRPr="00E51D56">
        <w:rPr>
          <w:lang w:val="fr-FR"/>
        </w:rPr>
        <w:t xml:space="preserve">S’il s’agit du Royaume-Uni, un instrument international prévoit le maintien de l’assujettissement dans l’Etat d’envoi (cf. Règlements européens ou Protocole en matière de sécurité sociale). Pour les autres États, cela dépend s’il existe une convention bilatérale prévoyant la législation applicable en cas de détachement. </w:t>
      </w:r>
    </w:p>
    <w:p w14:paraId="0FCD6FD4" w14:textId="15D88728" w:rsidR="002639F2" w:rsidRPr="00E51D56" w:rsidRDefault="002639F2" w:rsidP="002639F2">
      <w:pPr>
        <w:rPr>
          <w:lang w:val="fr-FR"/>
        </w:rPr>
      </w:pPr>
      <w:r w:rsidRPr="00E51D56">
        <w:rPr>
          <w:lang w:val="fr-FR"/>
        </w:rPr>
        <w:t xml:space="preserve">En ce qui concerne plus spécifiquement les travailleurs ICT détachés par un employeur situé au Royaume-Uni, puisqu’ils doivent fournir la preuve d’une couverture maladie avant de recevoir leur carte I ou J, ils seront couverts par une CEAM (en cas de séjour en Belgique) ou un document S1 (en cas de résidence en Belgique) délivré par les autorités britanniques (NHS ou HMRC). </w:t>
      </w:r>
    </w:p>
    <w:p w14:paraId="5747E411" w14:textId="77777777" w:rsidR="002639F2" w:rsidRPr="002639F2" w:rsidRDefault="002639F2" w:rsidP="002639F2">
      <w:pPr>
        <w:rPr>
          <w:lang w:val="fr-FR"/>
        </w:rPr>
      </w:pPr>
      <w:r w:rsidRPr="00E51D56">
        <w:rPr>
          <w:lang w:val="fr-FR"/>
        </w:rPr>
        <w:t>En conclusion, tenant compte des dispositions mentionnées ci-dessus, nous considérons que l’inscription à l’AMI belge en qualité de « résident », au sens de l’article 32, alinéa 1</w:t>
      </w:r>
      <w:r w:rsidRPr="00E51D56">
        <w:rPr>
          <w:vertAlign w:val="superscript"/>
          <w:lang w:val="fr-FR"/>
        </w:rPr>
        <w:t>er</w:t>
      </w:r>
      <w:r w:rsidRPr="00E51D56">
        <w:rPr>
          <w:lang w:val="fr-FR"/>
        </w:rPr>
        <w:t>, 15°, de la loi coordonnée du 14 juillet 1994, n’est pas possible sur la base d’une carte I ou d’une carte J.</w:t>
      </w:r>
    </w:p>
    <w:bookmarkEnd w:id="0"/>
    <w:p w14:paraId="5DC371DA" w14:textId="77777777" w:rsidR="00F3014B" w:rsidRPr="009E0CBB" w:rsidRDefault="00F3014B" w:rsidP="00F3014B">
      <w:pPr>
        <w:rPr>
          <w:lang w:val="fr-FR"/>
        </w:rPr>
      </w:pPr>
    </w:p>
    <w:p w14:paraId="4AE65622" w14:textId="77777777" w:rsidR="00F22C5C" w:rsidRPr="002639F2" w:rsidRDefault="00F22C5C" w:rsidP="00F3014B">
      <w:pPr>
        <w:rPr>
          <w:lang w:val="fr-FR"/>
        </w:rPr>
      </w:pPr>
    </w:p>
    <w:sectPr w:rsidR="00F22C5C" w:rsidRPr="002639F2" w:rsidSect="00523201">
      <w:footerReference w:type="default" r:id="rId8"/>
      <w:pgSz w:w="11906" w:h="16838" w:code="9"/>
      <w:pgMar w:top="2523" w:right="1701" w:bottom="1418" w:left="1701" w:header="720" w:footer="894"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2BEA" w14:textId="77777777" w:rsidR="00493F93" w:rsidRDefault="008A1583">
      <w:pPr>
        <w:spacing w:after="0" w:line="240" w:lineRule="auto"/>
      </w:pPr>
      <w:r>
        <w:separator/>
      </w:r>
    </w:p>
  </w:endnote>
  <w:endnote w:type="continuationSeparator" w:id="0">
    <w:p w14:paraId="5FCB7DBD" w14:textId="77777777" w:rsidR="00493F93" w:rsidRDefault="008A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A8D0" w14:textId="77777777" w:rsidR="00066AEE" w:rsidRDefault="00F3014B">
    <w:pPr>
      <w:pStyle w:val="Pieddepage"/>
      <w:tabs>
        <w:tab w:val="right" w:pos="8505"/>
      </w:tab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5EF6" w14:textId="77777777" w:rsidR="00493F93" w:rsidRDefault="008A1583">
      <w:pPr>
        <w:spacing w:after="0" w:line="240" w:lineRule="auto"/>
      </w:pPr>
      <w:r>
        <w:separator/>
      </w:r>
    </w:p>
  </w:footnote>
  <w:footnote w:type="continuationSeparator" w:id="0">
    <w:p w14:paraId="7E8DB74F" w14:textId="77777777" w:rsidR="00493F93" w:rsidRDefault="008A1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B49BC"/>
    <w:multiLevelType w:val="hybridMultilevel"/>
    <w:tmpl w:val="D11805D2"/>
    <w:lvl w:ilvl="0" w:tplc="A7CE2A7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F1328"/>
    <w:multiLevelType w:val="hybridMultilevel"/>
    <w:tmpl w:val="58262DE2"/>
    <w:lvl w:ilvl="0" w:tplc="39EC96A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6E23F8"/>
    <w:multiLevelType w:val="hybridMultilevel"/>
    <w:tmpl w:val="96023BFC"/>
    <w:lvl w:ilvl="0" w:tplc="9DDC87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9E30D9"/>
    <w:multiLevelType w:val="hybridMultilevel"/>
    <w:tmpl w:val="09DA391A"/>
    <w:lvl w:ilvl="0" w:tplc="03BED7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4B"/>
    <w:rsid w:val="001A17DF"/>
    <w:rsid w:val="002639F2"/>
    <w:rsid w:val="00493F93"/>
    <w:rsid w:val="004F541D"/>
    <w:rsid w:val="0070380D"/>
    <w:rsid w:val="007578B7"/>
    <w:rsid w:val="007D32FC"/>
    <w:rsid w:val="0087696A"/>
    <w:rsid w:val="008A1583"/>
    <w:rsid w:val="009E0CBB"/>
    <w:rsid w:val="00A45E2C"/>
    <w:rsid w:val="00CF139B"/>
    <w:rsid w:val="00D8476A"/>
    <w:rsid w:val="00D87034"/>
    <w:rsid w:val="00DB28A9"/>
    <w:rsid w:val="00E51D56"/>
    <w:rsid w:val="00F22C5C"/>
    <w:rsid w:val="00F30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A6FB"/>
  <w15:chartTrackingRefBased/>
  <w15:docId w15:val="{B5C15906-B492-48A8-9A48-8EC503B4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1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F3014B"/>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F3014B"/>
  </w:style>
  <w:style w:type="paragraph" w:styleId="Paragraphedeliste">
    <w:name w:val="List Paragraph"/>
    <w:basedOn w:val="Normal"/>
    <w:uiPriority w:val="34"/>
    <w:qFormat/>
    <w:rsid w:val="00F30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fd8d87-ea47-44bb-afd6-b4d99b1d9c1f">
      <Value>8</Value>
      <Value>24</Value>
      <Value>92</Value>
    </TaxCatchAll>
    <RIDocInitialCreationDate xmlns="f15eea43-7fa7-45cf-8dc0-d5244e2cd467">2023-01-25T23:00:00+00:00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Bijlage" ma:contentTypeID="0x010100BDF9EAF7E7FE59449502797BFB51743F010047212EAE1E0D5848808B033EC5A9BB26" ma:contentTypeVersion="42" ma:contentTypeDescription="" ma:contentTypeScope="" ma:versionID="6b5a34d257f28c72d55f3a2dc2005b72">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8adc980798fba05ca64a09c484222668"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minOccurs="0"/>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date" minOccurs="0"/>
                <xsd:element ref="ns2:replaces-ozb-sequence-nr" minOccurs="0"/>
                <xsd:element ref="ns2:replaces-ozb-nr" minOccurs="0"/>
                <xsd:element ref="ns3:o137210e1cf54361bb77e636aee5ca5c" minOccurs="0"/>
                <xsd:element ref="ns2:SharedWithUsers" minOccurs="0"/>
                <xsd:element ref="ns2:SharedWithDetails" minOccurs="0"/>
                <xsd:element ref="ns3:vervangen-d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nillable="true"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7" nillable="true"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29"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1"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date" ma:index="36" nillable="true" ma:displayName="replaces-ozb-date" ma:format="DateOnly" ma:internalName="replaces_x002d_ozb_x002d_date">
      <xsd:simpleType>
        <xsd:restriction base="dms:DateTime"/>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nr" ma:index="38" nillable="true" ma:displayName="replaces-ozb-nr" ma:decimals="0" ma:indexed="true" ma:internalName="replaces_x002d_ozb_x002d_nr" ma:readOnly="false">
      <xsd:simpleType>
        <xsd:restriction base="dms:Text">
          <xsd:maxLength value="4"/>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3" nillable="true" ma:displayName="vervangen-door" ma:indexed="true" ma:internalName="vervangen_x002d_do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8"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0"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2"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3"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83F8FA9A-7F1B-42A8-9846-DF77FAFE1BD4}"/>
</file>

<file path=customXml/itemProps2.xml><?xml version="1.0" encoding="utf-8"?>
<ds:datastoreItem xmlns:ds="http://schemas.openxmlformats.org/officeDocument/2006/customXml" ds:itemID="{4A5E1826-2E61-48B7-A7C7-67B7E06CC084}"/>
</file>

<file path=customXml/itemProps3.xml><?xml version="1.0" encoding="utf-8"?>
<ds:datastoreItem xmlns:ds="http://schemas.openxmlformats.org/officeDocument/2006/customXml" ds:itemID="{CC366A39-8E44-42B1-804B-89A353768C02}"/>
</file>

<file path=customXml/itemProps4.xml><?xml version="1.0" encoding="utf-8"?>
<ds:datastoreItem xmlns:ds="http://schemas.openxmlformats.org/officeDocument/2006/customXml" ds:itemID="{E0312ECB-E728-4178-A48F-CA5D58FA8DAA}"/>
</file>

<file path=customXml/itemProps5.xml><?xml version="1.0" encoding="utf-8"?>
<ds:datastoreItem xmlns:ds="http://schemas.openxmlformats.org/officeDocument/2006/customXml" ds:itemID="{0846F9D1-5071-45B3-82A9-F8377B00803D}"/>
</file>

<file path=customXml/itemProps6.xml><?xml version="1.0" encoding="utf-8"?>
<ds:datastoreItem xmlns:ds="http://schemas.openxmlformats.org/officeDocument/2006/customXml" ds:itemID="{7005A7EB-714D-4110-A33F-BF637A45C485}"/>
</file>

<file path=docProps/app.xml><?xml version="1.0" encoding="utf-8"?>
<Properties xmlns="http://schemas.openxmlformats.org/officeDocument/2006/extended-properties" xmlns:vt="http://schemas.openxmlformats.org/officeDocument/2006/docPropsVTypes">
  <Template>Normal.dotm</Template>
  <TotalTime>0</TotalTime>
  <Pages>7</Pages>
  <Words>2707</Words>
  <Characters>15436</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RIZIV-INAMI</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organismes assureurs 2023/15 - annexe 08 - Service du contrôle administratif</dc:title>
  <dc:subject/>
  <dc:creator>Simon Noël (RIZIV-INAMI)</dc:creator>
  <cp:keywords/>
  <dc:description/>
  <cp:lastModifiedBy>Yves Dejonckheere (RIZIV-INAMI)</cp:lastModifiedBy>
  <cp:revision>4</cp:revision>
  <dcterms:created xsi:type="dcterms:W3CDTF">2023-01-12T07:55:00Z</dcterms:created>
  <dcterms:modified xsi:type="dcterms:W3CDTF">2023-01-13T09:31:00Z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DienstOpBrief">
    <vt:lpwstr>395;#Administratieve Controle|83602510-5994-4c0f-b5c9-dfa9b0472570</vt:lpwstr>
  </property>
  <property fmtid="{D5CDD505-2E9C-101B-9397-08002B2CF9AE}" pid="4" name="Rubriek">
    <vt:lpwstr>42;#2299 - Personen ingeschreven in het Rijksregister|8dfac25a-f88b-447a-b30e-c9a0110f4121</vt:lpwstr>
  </property>
  <property fmtid="{D5CDD505-2E9C-101B-9397-08002B2CF9AE}" pid="5" name="Dienst">
    <vt:lpwstr>14;#Administratieve Controle|83602510-5994-4c0f-b5c9-dfa9b0472570</vt:lpwstr>
  </property>
  <property fmtid="{D5CDD505-2E9C-101B-9397-08002B2CF9AE}" pid="6" name="_docset_NoMedatataSyncRequired">
    <vt:lpwstr>False</vt:lpwstr>
  </property>
  <property fmtid="{D5CDD505-2E9C-101B-9397-08002B2CF9AE}" pid="7" name="RITargetGroup">
    <vt:lpwstr>24;#Mutualités|a6cbed05-adf5-4226-bcb7-ef5cdc788bf2</vt:lpwstr>
  </property>
  <property fmtid="{D5CDD505-2E9C-101B-9397-08002B2CF9AE}" pid="8" name="RILanguage">
    <vt:lpwstr>8;#Français|aa2269b8-11bd-4cc9-9267-801806817e60</vt:lpwstr>
  </property>
  <property fmtid="{D5CDD505-2E9C-101B-9397-08002B2CF9AE}" pid="9" name="RIDocType">
    <vt:lpwstr>92;#Circulaire|9d6b496f-bb23-418e-a963-57bb7fe71634</vt:lpwstr>
  </property>
  <property fmtid="{D5CDD505-2E9C-101B-9397-08002B2CF9AE}" pid="10" name="RITheme">
    <vt:lpwstr/>
  </property>
  <property fmtid="{D5CDD505-2E9C-101B-9397-08002B2CF9AE}" pid="11" name="Publication type for documents">
    <vt:lpwstr/>
  </property>
</Properties>
</file>