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1C6ECB" w:rsidRDefault="001C6ECB">
      <w:pPr>
        <w:rPr>
          <w:rFonts w:ascii="Arial" w:hAnsi="Arial" w:cs="Arial"/>
          <w:b/>
          <w:bCs/>
          <w:sz w:val="18"/>
          <w:szCs w:val="18"/>
          <w:lang w:val="fr-BE"/>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6AA16DA1" w:rsidR="00616E91" w:rsidRPr="001C6ECB" w:rsidRDefault="005643C5" w:rsidP="00C70678">
      <w:pPr>
        <w:tabs>
          <w:tab w:val="left" w:pos="3558"/>
          <w:tab w:val="center" w:pos="4680"/>
          <w:tab w:val="left" w:pos="7098"/>
          <w:tab w:val="right" w:pos="9360"/>
        </w:tabs>
        <w:rPr>
          <w:rFonts w:ascii="Arial" w:hAnsi="Arial" w:cs="Arial"/>
          <w:sz w:val="18"/>
          <w:szCs w:val="18"/>
          <w:lang w:val="fr-BE"/>
        </w:rPr>
      </w:pPr>
      <w:r w:rsidRPr="001C6ECB">
        <w:rPr>
          <w:rFonts w:ascii="Arial" w:hAnsi="Arial" w:cs="Arial"/>
          <w:sz w:val="18"/>
          <w:szCs w:val="18"/>
          <w:lang w:val="fr-BE"/>
        </w:rPr>
        <w:t xml:space="preserve">Circulaire </w:t>
      </w:r>
      <w:r w:rsidR="00FF55D4" w:rsidRPr="001C6ECB">
        <w:rPr>
          <w:rFonts w:ascii="Arial" w:hAnsi="Arial" w:cs="Arial"/>
          <w:sz w:val="18"/>
          <w:szCs w:val="18"/>
          <w:lang w:val="fr-BE"/>
        </w:rPr>
        <w:t>OA</w:t>
      </w:r>
      <w:r w:rsidR="00616E91" w:rsidRPr="001C6ECB">
        <w:rPr>
          <w:rFonts w:ascii="Arial" w:hAnsi="Arial" w:cs="Arial"/>
          <w:sz w:val="18"/>
          <w:szCs w:val="18"/>
          <w:lang w:val="fr-BE"/>
        </w:rPr>
        <w:t xml:space="preserve"> n</w:t>
      </w:r>
      <w:r w:rsidRPr="001C6ECB">
        <w:rPr>
          <w:rFonts w:ascii="Arial" w:hAnsi="Arial" w:cs="Arial"/>
          <w:sz w:val="18"/>
          <w:szCs w:val="18"/>
          <w:lang w:val="fr-BE"/>
        </w:rPr>
        <w:t>o</w:t>
      </w:r>
      <w:r w:rsidR="00616E91" w:rsidRPr="001C6ECB">
        <w:rPr>
          <w:rFonts w:ascii="Arial" w:hAnsi="Arial" w:cs="Arial"/>
          <w:sz w:val="18"/>
          <w:szCs w:val="18"/>
          <w:lang w:val="fr-BE"/>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1C6ECB">
        <w:rPr>
          <w:rFonts w:ascii="Arial" w:hAnsi="Arial" w:cs="Arial"/>
          <w:sz w:val="18"/>
          <w:szCs w:val="18"/>
          <w:lang w:val="fr-BE"/>
        </w:rPr>
        <w:t>/</w:t>
      </w:r>
      <w:sdt>
        <w:sdtPr>
          <w:rPr>
            <w:rFonts w:ascii="Arial" w:hAnsi="Arial" w:cs="Arial"/>
            <w:sz w:val="18"/>
            <w:szCs w:val="18"/>
            <w:lang w:val="fr-BE"/>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1C6ECB">
            <w:rPr>
              <w:rFonts w:ascii="Arial" w:hAnsi="Arial" w:cs="Arial"/>
              <w:sz w:val="18"/>
              <w:szCs w:val="18"/>
              <w:lang w:val="fr-BE"/>
            </w:rPr>
            <w:t>0</w:t>
          </w:r>
        </w:sdtContent>
      </w:sdt>
      <w:r w:rsidR="00113139" w:rsidRPr="001C6ECB">
        <w:rPr>
          <w:rFonts w:ascii="Arial" w:hAnsi="Arial" w:cs="Arial"/>
          <w:sz w:val="18"/>
          <w:szCs w:val="18"/>
          <w:lang w:val="fr-BE"/>
        </w:rPr>
        <w:t xml:space="preserve"> du </w:t>
      </w:r>
      <w:sdt>
        <w:sdtPr>
          <w:rPr>
            <w:rFonts w:ascii="Arial" w:hAnsi="Arial" w:cs="Arial"/>
            <w:sz w:val="18"/>
            <w:szCs w:val="18"/>
            <w:lang w:val="fr-BE"/>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1-27T00:00:00Z">
            <w:dateFormat w:val="d-M-yyyy"/>
            <w:lid w:val="nl-NL"/>
            <w:storeMappedDataAs w:val="dateTime"/>
            <w:calendar w:val="gregorian"/>
          </w:date>
        </w:sdtPr>
        <w:sdtEndPr/>
        <w:sdtContent>
          <w:r w:rsidR="001C6ECB" w:rsidRPr="001C6ECB">
            <w:rPr>
              <w:rFonts w:ascii="Arial" w:hAnsi="Arial" w:cs="Arial"/>
              <w:sz w:val="18"/>
              <w:szCs w:val="18"/>
              <w:lang w:val="fr-BE"/>
            </w:rPr>
            <w:t>27-11-2025</w:t>
          </w:r>
        </w:sdtContent>
      </w:sdt>
    </w:p>
    <w:p w14:paraId="59EB4B33" w14:textId="47C62154" w:rsidR="008508D5" w:rsidRPr="001C6ECB" w:rsidRDefault="00EC32D3" w:rsidP="0006548C">
      <w:pPr>
        <w:tabs>
          <w:tab w:val="left" w:pos="3558"/>
          <w:tab w:val="center" w:pos="4680"/>
          <w:tab w:val="left" w:pos="5505"/>
        </w:tabs>
        <w:rPr>
          <w:rFonts w:ascii="Arial" w:hAnsi="Arial" w:cs="Arial"/>
          <w:sz w:val="18"/>
          <w:szCs w:val="18"/>
          <w:lang w:val="fr-BE"/>
        </w:rPr>
      </w:pPr>
      <w:bookmarkStart w:id="0" w:name="_Hlk112406274"/>
      <w:r w:rsidRPr="001C6ECB">
        <w:rPr>
          <w:rFonts w:ascii="Arial" w:hAnsi="Arial" w:cs="Arial"/>
          <w:sz w:val="18"/>
          <w:szCs w:val="18"/>
          <w:lang w:val="fr-BE"/>
        </w:rPr>
        <w:t xml:space="preserve"> </w:t>
      </w:r>
      <w:r w:rsidR="0006548C" w:rsidRPr="001C6ECB">
        <w:rPr>
          <w:rFonts w:ascii="Arial" w:hAnsi="Arial" w:cs="Arial"/>
          <w:sz w:val="18"/>
          <w:szCs w:val="18"/>
          <w:lang w:val="fr-BE"/>
        </w:rPr>
        <w:tab/>
      </w:r>
    </w:p>
    <w:p w14:paraId="16F96770" w14:textId="3C0A51F0" w:rsidR="0006548C" w:rsidRPr="001C6ECB" w:rsidRDefault="001C6ECB" w:rsidP="0006548C">
      <w:pPr>
        <w:tabs>
          <w:tab w:val="left" w:pos="1380"/>
          <w:tab w:val="left" w:pos="1532"/>
          <w:tab w:val="left" w:pos="1647"/>
          <w:tab w:val="left" w:pos="1820"/>
        </w:tabs>
        <w:rPr>
          <w:rFonts w:ascii="Arial" w:hAnsi="Arial" w:cs="Arial"/>
          <w:sz w:val="18"/>
          <w:szCs w:val="18"/>
          <w:lang w:val="fr-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1C6ECB">
            <w:rPr>
              <w:rFonts w:ascii="Arial" w:hAnsi="Arial" w:cs="Arial"/>
              <w:sz w:val="18"/>
              <w:szCs w:val="18"/>
              <w:lang w:val="fr-BE"/>
            </w:rPr>
            <w:t xml:space="preserve"> </w:t>
          </w:r>
        </w:sdtContent>
      </w:sdt>
      <w:r w:rsidR="0006548C" w:rsidRPr="001C6ECB">
        <w:rPr>
          <w:rFonts w:ascii="Arial" w:hAnsi="Arial" w:cs="Arial"/>
          <w:sz w:val="18"/>
          <w:szCs w:val="18"/>
          <w:lang w:val="fr-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1C6ECB">
        <w:rPr>
          <w:rFonts w:ascii="Arial" w:hAnsi="Arial" w:cs="Arial"/>
          <w:sz w:val="18"/>
          <w:szCs w:val="18"/>
          <w:lang w:val="fr-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1C6ECB">
            <w:rPr>
              <w:rFonts w:ascii="Arial" w:hAnsi="Arial" w:cs="Arial"/>
              <w:sz w:val="18"/>
              <w:szCs w:val="18"/>
              <w:lang w:val="fr-BE"/>
            </w:rPr>
            <w:t xml:space="preserve"> </w:t>
          </w:r>
        </w:sdtContent>
      </w:sdt>
    </w:p>
    <w:bookmarkEnd w:id="0" w:displacedByCustomXml="next"/>
    <w:sdt>
      <w:sdtPr>
        <w:rPr>
          <w:rFonts w:ascii="Arial" w:hAnsi="Arial" w:cs="Arial"/>
          <w:sz w:val="18"/>
          <w:szCs w:val="18"/>
          <w:lang w:val="fr-BE"/>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1A3D9CA1" w14:textId="77777777" w:rsidR="000F1004" w:rsidRPr="001C6ECB" w:rsidRDefault="001C6ECB">
          <w:pPr>
            <w:tabs>
              <w:tab w:val="left" w:pos="3558"/>
              <w:tab w:val="center" w:pos="4680"/>
              <w:tab w:val="left" w:pos="7098"/>
              <w:tab w:val="right" w:pos="9360"/>
            </w:tabs>
            <w:rPr>
              <w:rFonts w:ascii="Arial" w:hAnsi="Arial" w:cs="Arial"/>
              <w:sz w:val="18"/>
              <w:szCs w:val="18"/>
              <w:lang w:val="fr-BE"/>
            </w:rPr>
          </w:pPr>
          <w:r w:rsidRPr="001C6ECB">
            <w:rPr>
              <w:lang w:val="fr-BE"/>
            </w:rPr>
            <w:br/>
            <w:t>3991 /..</w:t>
          </w:r>
        </w:p>
      </w:sdtContent>
    </w:sdt>
    <w:p w14:paraId="06A3E422" w14:textId="77777777" w:rsidR="004C387B" w:rsidRPr="001C6ECB" w:rsidRDefault="004C387B" w:rsidP="00C70678">
      <w:pPr>
        <w:tabs>
          <w:tab w:val="left" w:pos="3558"/>
          <w:tab w:val="center" w:pos="4680"/>
          <w:tab w:val="left" w:pos="7098"/>
          <w:tab w:val="right" w:pos="9360"/>
        </w:tabs>
        <w:rPr>
          <w:rFonts w:ascii="Arial" w:hAnsi="Arial" w:cs="Arial"/>
          <w:sz w:val="18"/>
          <w:szCs w:val="18"/>
          <w:lang w:val="fr-BE"/>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2DF7BDA6" w14:textId="77777777" w:rsidR="001C6ECB" w:rsidRDefault="001C6ECB">
          <w:pPr>
            <w:pStyle w:val="NormalWeb"/>
            <w:divId w:val="1618368605"/>
            <w:rPr>
              <w:rFonts w:ascii="Arial" w:hAnsi="Arial" w:cs="Arial"/>
              <w:sz w:val="18"/>
              <w:szCs w:val="18"/>
            </w:rPr>
          </w:pPr>
          <w:r>
            <w:rPr>
              <w:rFonts w:ascii="Arial" w:hAnsi="Arial" w:cs="Arial"/>
              <w:sz w:val="18"/>
              <w:szCs w:val="18"/>
            </w:rPr>
            <w:t>​</w:t>
          </w:r>
          <w:r>
            <w:rPr>
              <w:rStyle w:val="lev"/>
              <w:rFonts w:ascii="Arial" w:hAnsi="Arial" w:cs="Arial"/>
              <w:sz w:val="18"/>
              <w:szCs w:val="18"/>
            </w:rPr>
            <w:t>Pièces justificatives et sources de revenus pour l'octroi et la prolongation du droit à l'intervention majorée (I.M)</w:t>
          </w:r>
          <w:r>
            <w:rPr>
              <w:rFonts w:ascii="Arial" w:hAnsi="Arial" w:cs="Arial"/>
              <w:sz w:val="18"/>
              <w:szCs w:val="18"/>
            </w:rPr>
            <w:t>​</w:t>
          </w:r>
        </w:p>
        <w:p w14:paraId="1B1D6D19" w14:textId="3C6DC6C4" w:rsidR="00CE254A" w:rsidRPr="001C6ECB" w:rsidRDefault="001C6ECB" w:rsidP="001C6ECB">
          <w:pPr>
            <w:spacing w:after="0" w:line="14" w:lineRule="exact"/>
            <w:rPr>
              <w:sz w:val="2"/>
              <w:szCs w:val="2"/>
            </w:rPr>
          </w:pPr>
        </w:p>
      </w:sdtContent>
    </w:sdt>
    <w:p w14:paraId="736517BF" w14:textId="77777777" w:rsidR="001C6ECB" w:rsidRPr="00EF41DE" w:rsidRDefault="001C6ECB" w:rsidP="001C6ECB">
      <w:pPr>
        <w:rPr>
          <w:lang w:val="fr-BE"/>
        </w:rPr>
      </w:pPr>
      <w:r w:rsidRPr="00EF41DE">
        <w:rPr>
          <w:lang w:val="fr-BE"/>
        </w:rPr>
        <w:t>La présente circulaire traite des différentes pièces justificatives et sources de revenus pouvant être utilisées dans le cadre de l’octroi du droit à l’intervention majorée. Ce récapitulatif comprend les documents et sources utilisés :</w:t>
      </w:r>
    </w:p>
    <w:p w14:paraId="084CE756" w14:textId="77777777" w:rsidR="001C6ECB" w:rsidRPr="00EF41DE" w:rsidRDefault="001C6ECB" w:rsidP="001C6ECB">
      <w:pPr>
        <w:numPr>
          <w:ilvl w:val="0"/>
          <w:numId w:val="1"/>
        </w:numPr>
        <w:spacing w:after="200" w:line="276" w:lineRule="auto"/>
        <w:rPr>
          <w:lang w:val="fr-BE"/>
        </w:rPr>
      </w:pPr>
      <w:r w:rsidRPr="00EF41DE">
        <w:rPr>
          <w:lang w:val="fr-BE"/>
        </w:rPr>
        <w:t xml:space="preserve">Lors de la </w:t>
      </w:r>
      <w:r w:rsidRPr="00AF3B0A">
        <w:rPr>
          <w:u w:val="single"/>
          <w:lang w:val="fr-BE"/>
        </w:rPr>
        <w:t>déclaration de revenus</w:t>
      </w:r>
      <w:r w:rsidRPr="00EF41DE">
        <w:rPr>
          <w:lang w:val="fr-BE"/>
        </w:rPr>
        <w:t xml:space="preserve"> pour l’ouverture et la révision du droit à l’intervention majorée sur la base d’une enquête sur les revenus.</w:t>
      </w:r>
    </w:p>
    <w:p w14:paraId="095385EB" w14:textId="77777777" w:rsidR="001C6ECB" w:rsidRPr="00EF41DE" w:rsidRDefault="001C6ECB" w:rsidP="001C6ECB">
      <w:pPr>
        <w:numPr>
          <w:ilvl w:val="0"/>
          <w:numId w:val="1"/>
        </w:numPr>
        <w:spacing w:after="200" w:line="276" w:lineRule="auto"/>
        <w:rPr>
          <w:lang w:val="fr-BE"/>
        </w:rPr>
      </w:pPr>
      <w:r w:rsidRPr="00EF41DE">
        <w:rPr>
          <w:lang w:val="fr-BE"/>
        </w:rPr>
        <w:t xml:space="preserve">Lors </w:t>
      </w:r>
      <w:r>
        <w:rPr>
          <w:lang w:val="fr-BE"/>
        </w:rPr>
        <w:t>de la prolongation</w:t>
      </w:r>
      <w:r w:rsidRPr="00EF41DE">
        <w:rPr>
          <w:lang w:val="fr-BE"/>
        </w:rPr>
        <w:t xml:space="preserve"> du droit dans le cadre du </w:t>
      </w:r>
      <w:r w:rsidRPr="00AF3B0A">
        <w:rPr>
          <w:u w:val="single"/>
          <w:lang w:val="fr-BE"/>
        </w:rPr>
        <w:t>contrôle systématique.</w:t>
      </w:r>
    </w:p>
    <w:p w14:paraId="64453A45" w14:textId="77777777" w:rsidR="001C6ECB" w:rsidRPr="00EF41DE" w:rsidRDefault="001C6ECB" w:rsidP="001C6ECB">
      <w:pPr>
        <w:numPr>
          <w:ilvl w:val="0"/>
          <w:numId w:val="1"/>
        </w:numPr>
        <w:spacing w:after="200" w:line="276" w:lineRule="auto"/>
        <w:rPr>
          <w:lang w:val="fr-BE"/>
        </w:rPr>
      </w:pPr>
      <w:r w:rsidRPr="00EF41DE">
        <w:rPr>
          <w:lang w:val="fr-BE"/>
        </w:rPr>
        <w:t xml:space="preserve">Pour la détection des </w:t>
      </w:r>
      <w:r>
        <w:rPr>
          <w:lang w:val="fr-BE"/>
        </w:rPr>
        <w:t>bénéficiaires</w:t>
      </w:r>
      <w:r w:rsidRPr="00EF41DE">
        <w:rPr>
          <w:lang w:val="fr-BE"/>
        </w:rPr>
        <w:t xml:space="preserve"> potentiels dans le </w:t>
      </w:r>
      <w:r w:rsidRPr="00AF3B0A">
        <w:rPr>
          <w:u w:val="single"/>
          <w:lang w:val="fr-BE"/>
        </w:rPr>
        <w:t>flux proactif.</w:t>
      </w:r>
    </w:p>
    <w:p w14:paraId="4ED96838" w14:textId="77777777" w:rsidR="001C6ECB" w:rsidRPr="00EF41DE" w:rsidRDefault="001C6ECB" w:rsidP="001C6ECB">
      <w:pPr>
        <w:rPr>
          <w:lang w:val="fr-BE"/>
        </w:rPr>
      </w:pPr>
      <w:r w:rsidRPr="00EF41DE">
        <w:rPr>
          <w:lang w:val="fr-BE"/>
        </w:rPr>
        <w:t>Les informations principales de cette circulaire se trouvent dans l’annexe. Celle-ci présente un aperçu des pièces justificatives utilisées pour l’octroi et le renouvellement du droit à l’intervention majorée sur la base de l’enquête sur les revenus (annexe 1)</w:t>
      </w:r>
      <w:r>
        <w:rPr>
          <w:rStyle w:val="Appelnotedebasdep"/>
          <w:lang w:val="fr-BE"/>
        </w:rPr>
        <w:footnoteReference w:id="2"/>
      </w:r>
      <w:r w:rsidRPr="00EF41DE">
        <w:rPr>
          <w:lang w:val="fr-BE"/>
        </w:rPr>
        <w:t>.</w:t>
      </w:r>
    </w:p>
    <w:p w14:paraId="05800F8D" w14:textId="77777777" w:rsidR="001C6ECB" w:rsidRPr="00EF41DE" w:rsidRDefault="001C6ECB" w:rsidP="001C6ECB">
      <w:pPr>
        <w:rPr>
          <w:lang w:val="fr-BE"/>
        </w:rPr>
      </w:pPr>
      <w:r w:rsidRPr="00EF41DE">
        <w:rPr>
          <w:lang w:val="fr-BE"/>
        </w:rPr>
        <w:t xml:space="preserve">L’aperçu des pièces justificatives de l’annexe 1 </w:t>
      </w:r>
      <w:r>
        <w:rPr>
          <w:lang w:val="fr-BE"/>
        </w:rPr>
        <w:t>s’inscrit</w:t>
      </w:r>
      <w:r w:rsidRPr="00EF41DE">
        <w:rPr>
          <w:lang w:val="fr-BE"/>
        </w:rPr>
        <w:t xml:space="preserve"> dans le cadre de l’exécution de l’arrêté royal du 15 janvier 2014 relatif à l’intervention majorée visée à l’article 37, § 19, de la loi relative à l’assurance obligatoire soins de santé et indemnités, coordonnée le 14 juillet 1994, publié au Moniteur belge le 29 janvier 2014 et entré en vigueur le 1er janvier 2014 ; ainsi que des circulaires des services soins de santé et contrôle administratif qui précisent l’application de la réglementation.</w:t>
      </w:r>
    </w:p>
    <w:p w14:paraId="1CE15A95" w14:textId="77777777" w:rsidR="001C6ECB" w:rsidRPr="00EF41DE" w:rsidRDefault="001C6ECB" w:rsidP="001C6ECB">
      <w:pPr>
        <w:rPr>
          <w:lang w:val="fr-BE"/>
        </w:rPr>
      </w:pPr>
      <w:r w:rsidRPr="00EF41DE">
        <w:rPr>
          <w:lang w:val="fr-BE"/>
        </w:rPr>
        <w:t xml:space="preserve">Pour le Service </w:t>
      </w:r>
      <w:r>
        <w:rPr>
          <w:lang w:val="fr-BE"/>
        </w:rPr>
        <w:t xml:space="preserve">des </w:t>
      </w:r>
      <w:r w:rsidRPr="00EF41DE">
        <w:rPr>
          <w:lang w:val="fr-BE"/>
        </w:rPr>
        <w:t xml:space="preserve">soins de santé, il s’agit des circulaires « Réglementation relative à l’intervention majorée » (Circulaire </w:t>
      </w:r>
      <w:r>
        <w:rPr>
          <w:lang w:val="fr-BE"/>
        </w:rPr>
        <w:t>O.A.</w:t>
      </w:r>
      <w:r w:rsidRPr="00EF41DE">
        <w:rPr>
          <w:lang w:val="fr-BE"/>
        </w:rPr>
        <w:t xml:space="preserve"> n° 202</w:t>
      </w:r>
      <w:r>
        <w:rPr>
          <w:lang w:val="fr-BE"/>
        </w:rPr>
        <w:t>5</w:t>
      </w:r>
      <w:r w:rsidRPr="00EF41DE">
        <w:rPr>
          <w:lang w:val="fr-BE"/>
        </w:rPr>
        <w:t>/</w:t>
      </w:r>
      <w:r>
        <w:rPr>
          <w:lang w:val="fr-BE"/>
        </w:rPr>
        <w:t>74</w:t>
      </w:r>
      <w:r w:rsidRPr="00EF41DE">
        <w:rPr>
          <w:lang w:val="fr-BE"/>
        </w:rPr>
        <w:t xml:space="preserve"> du 2</w:t>
      </w:r>
      <w:r>
        <w:rPr>
          <w:lang w:val="fr-BE"/>
        </w:rPr>
        <w:t>6 février 2025</w:t>
      </w:r>
      <w:r w:rsidRPr="00EF41DE">
        <w:rPr>
          <w:lang w:val="fr-BE"/>
        </w:rPr>
        <w:t xml:space="preserve">) et « Intervention majorée : nature des revenus à prendre en compte » (Circulaire </w:t>
      </w:r>
      <w:r>
        <w:rPr>
          <w:lang w:val="fr-BE"/>
        </w:rPr>
        <w:t>O.A.</w:t>
      </w:r>
      <w:r w:rsidRPr="00EF41DE">
        <w:rPr>
          <w:lang w:val="fr-BE"/>
        </w:rPr>
        <w:t xml:space="preserve"> n° 20</w:t>
      </w:r>
      <w:r>
        <w:rPr>
          <w:lang w:val="fr-BE"/>
        </w:rPr>
        <w:t>24</w:t>
      </w:r>
      <w:r w:rsidRPr="00EF41DE">
        <w:rPr>
          <w:lang w:val="fr-BE"/>
        </w:rPr>
        <w:t>/</w:t>
      </w:r>
      <w:r>
        <w:rPr>
          <w:lang w:val="fr-BE"/>
        </w:rPr>
        <w:t>221</w:t>
      </w:r>
      <w:r w:rsidRPr="00EF41DE">
        <w:rPr>
          <w:lang w:val="fr-BE"/>
        </w:rPr>
        <w:t xml:space="preserve"> du 1</w:t>
      </w:r>
      <w:r>
        <w:rPr>
          <w:lang w:val="fr-BE"/>
        </w:rPr>
        <w:t>1</w:t>
      </w:r>
      <w:r w:rsidRPr="00EF41DE">
        <w:rPr>
          <w:lang w:val="fr-BE"/>
        </w:rPr>
        <w:t xml:space="preserve"> </w:t>
      </w:r>
      <w:r>
        <w:rPr>
          <w:lang w:val="fr-BE"/>
        </w:rPr>
        <w:t>juillet 2024</w:t>
      </w:r>
      <w:r w:rsidRPr="00EF41DE">
        <w:rPr>
          <w:lang w:val="fr-BE"/>
        </w:rPr>
        <w:t>). Pour le Service</w:t>
      </w:r>
      <w:r>
        <w:rPr>
          <w:lang w:val="fr-BE"/>
        </w:rPr>
        <w:t xml:space="preserve"> du</w:t>
      </w:r>
      <w:r w:rsidRPr="00EF41DE">
        <w:rPr>
          <w:lang w:val="fr-BE"/>
        </w:rPr>
        <w:t xml:space="preserve"> contrôle administratif, il s’agit des circulaires « Flux de données dans le cadre du contrôle systématique du droit à l’intervention majorée en 2025 » (Circulaire </w:t>
      </w:r>
      <w:r>
        <w:rPr>
          <w:lang w:val="fr-BE"/>
        </w:rPr>
        <w:t xml:space="preserve">O.A. </w:t>
      </w:r>
      <w:r w:rsidRPr="00EF41DE">
        <w:rPr>
          <w:lang w:val="fr-BE"/>
        </w:rPr>
        <w:t xml:space="preserve">n° 2025/169 du 8 juillet 2025) et « Organisation des flux de données permettant aux mutualités d’identifier les </w:t>
      </w:r>
      <w:r>
        <w:rPr>
          <w:lang w:val="fr-BE"/>
        </w:rPr>
        <w:t>bénéficiaires</w:t>
      </w:r>
      <w:r w:rsidRPr="00EF41DE">
        <w:rPr>
          <w:lang w:val="fr-BE"/>
        </w:rPr>
        <w:t xml:space="preserve"> potentiels à l’intervention majorée (le “flux proactif”) » (Circulaire </w:t>
      </w:r>
      <w:r>
        <w:rPr>
          <w:lang w:val="fr-BE"/>
        </w:rPr>
        <w:t>O.A.</w:t>
      </w:r>
      <w:r w:rsidRPr="00EF41DE">
        <w:rPr>
          <w:lang w:val="fr-BE"/>
        </w:rPr>
        <w:t xml:space="preserve"> n° 2025/205 du 19 août 2025).</w:t>
      </w:r>
    </w:p>
    <w:p w14:paraId="0C5CCF1D" w14:textId="77777777" w:rsidR="001C6ECB" w:rsidRPr="00EF41DE" w:rsidRDefault="001C6ECB" w:rsidP="001C6ECB">
      <w:pPr>
        <w:rPr>
          <w:lang w:val="fr-BE"/>
        </w:rPr>
      </w:pPr>
      <w:r w:rsidRPr="00EF41DE">
        <w:rPr>
          <w:lang w:val="fr-BE"/>
        </w:rPr>
        <w:t>Les</w:t>
      </w:r>
      <w:r>
        <w:rPr>
          <w:lang w:val="fr-BE"/>
        </w:rPr>
        <w:t xml:space="preserve"> organismes assureurs (O.A.) </w:t>
      </w:r>
      <w:r w:rsidRPr="00EF41DE">
        <w:rPr>
          <w:lang w:val="fr-BE"/>
        </w:rPr>
        <w:t xml:space="preserve">peuvent poser des questions concernant l’utilisation de pièces justificatives qui ne figurent pas dans la liste en annexe. Ces questions peuvent être adressées à la Direction ACCES via l’adresse e-mail </w:t>
      </w:r>
      <w:hyperlink r:id="rId14" w:history="1">
        <w:r w:rsidRPr="0077068D">
          <w:rPr>
            <w:rStyle w:val="Lienhypertexte"/>
            <w:lang w:val="fr-BE"/>
          </w:rPr>
          <w:t>sca</w:t>
        </w:r>
        <w:r w:rsidRPr="00EF41DE">
          <w:rPr>
            <w:rStyle w:val="Lienhypertexte"/>
            <w:lang w:val="fr-BE"/>
          </w:rPr>
          <w:t>-acces@riziv-inami.fgov.be</w:t>
        </w:r>
      </w:hyperlink>
      <w:r>
        <w:rPr>
          <w:lang w:val="fr-BE"/>
        </w:rPr>
        <w:t xml:space="preserve">. </w:t>
      </w:r>
    </w:p>
    <w:p w14:paraId="5F823BDD" w14:textId="77777777" w:rsidR="001C6ECB" w:rsidRPr="00EF41DE" w:rsidRDefault="001C6ECB" w:rsidP="001C6ECB">
      <w:pPr>
        <w:rPr>
          <w:lang w:val="fr-BE"/>
        </w:rPr>
      </w:pPr>
    </w:p>
    <w:p w14:paraId="56BAF669" w14:textId="60BBAE5F" w:rsidR="00A80F56" w:rsidRPr="003321F1" w:rsidRDefault="00A80F56" w:rsidP="00A80F56">
      <w:pPr>
        <w:rPr>
          <w:rFonts w:ascii="Arial" w:hAnsi="Arial" w:cs="Arial"/>
          <w:sz w:val="18"/>
          <w:szCs w:val="18"/>
          <w:lang w:val="nl-BE"/>
        </w:rPr>
      </w:pP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3F070BAC" w14:textId="0626CEBF" w:rsidR="00A80F56" w:rsidRPr="003321F1" w:rsidRDefault="0028170D" w:rsidP="001C6ECB">
      <w:pPr>
        <w:tabs>
          <w:tab w:val="left" w:pos="3558"/>
          <w:tab w:val="center" w:pos="4680"/>
          <w:tab w:val="left" w:pos="7098"/>
          <w:tab w:val="right" w:pos="9360"/>
        </w:tabs>
        <w:ind w:left="2880" w:firstLine="2880"/>
        <w:rPr>
          <w:rFonts w:ascii="Arial" w:hAnsi="Arial" w:cs="Arial"/>
          <w:sz w:val="18"/>
          <w:szCs w:val="18"/>
          <w:lang w:val="nl-NL"/>
        </w:rPr>
      </w:pPr>
      <w:r w:rsidRPr="001C6ECB">
        <w:rPr>
          <w:rFonts w:ascii="Arial" w:hAnsi="Arial" w:cs="Arial"/>
          <w:sz w:val="18"/>
          <w:szCs w:val="18"/>
          <w:lang w:val="fr-BE"/>
        </w:rPr>
        <w:tab/>
      </w:r>
      <w:r w:rsidRPr="001C6ECB">
        <w:rPr>
          <w:rFonts w:ascii="Arial" w:hAnsi="Arial" w:cs="Arial"/>
          <w:sz w:val="18"/>
          <w:szCs w:val="18"/>
          <w:lang w:val="fr-BE"/>
        </w:rPr>
        <w:tab/>
      </w:r>
      <w:r w:rsidR="003307F5" w:rsidRPr="001C6ECB">
        <w:rPr>
          <w:rFonts w:ascii="Arial" w:hAnsi="Arial" w:cs="Arial"/>
          <w:sz w:val="18"/>
          <w:szCs w:val="18"/>
          <w:lang w:val="fr-BE"/>
        </w:rPr>
        <w:t xml:space="preserve">  </w:t>
      </w:r>
      <w:r w:rsidR="003307F5">
        <w:rPr>
          <w:rFonts w:ascii="Arial" w:hAnsi="Arial" w:cs="Arial"/>
          <w:sz w:val="18"/>
          <w:szCs w:val="18"/>
          <w:lang w:val="nl-NL"/>
        </w:rPr>
        <w:t xml:space="preserve">  </w:t>
      </w:r>
      <w:r w:rsidR="003307F5" w:rsidRPr="001C6ECB">
        <w:rPr>
          <w:rFonts w:ascii="Arial" w:hAnsi="Arial" w:cs="Arial"/>
          <w:sz w:val="18"/>
          <w:szCs w:val="18"/>
          <w:lang w:val="fr-BE"/>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7CAA1E">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6A101A58" w14:textId="00CA9E30" w:rsidR="00A80F56" w:rsidRPr="001C6ECB" w:rsidRDefault="00A80F56" w:rsidP="00A80F56">
      <w:pPr>
        <w:rPr>
          <w:rFonts w:ascii="Arial" w:hAnsi="Arial" w:cs="Arial"/>
          <w:sz w:val="18"/>
          <w:szCs w:val="18"/>
          <w:lang w:val="fr-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1C6ECB" w:rsidRDefault="00A80F56" w:rsidP="00A80F56">
      <w:pPr>
        <w:rPr>
          <w:rFonts w:ascii="Arial" w:hAnsi="Arial" w:cs="Arial"/>
          <w:sz w:val="18"/>
          <w:szCs w:val="18"/>
          <w:lang w:val="fr-BE"/>
        </w:rPr>
      </w:pP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r w:rsidRPr="001C6ECB">
        <w:rPr>
          <w:rFonts w:ascii="Arial" w:hAnsi="Arial" w:cs="Arial"/>
          <w:sz w:val="18"/>
          <w:szCs w:val="18"/>
          <w:lang w:val="fr-BE"/>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1C6ECB" w:rsidRDefault="005643C5" w:rsidP="00D6213A">
      <w:pPr>
        <w:tabs>
          <w:tab w:val="left" w:pos="3558"/>
          <w:tab w:val="center" w:pos="4680"/>
          <w:tab w:val="left" w:pos="7098"/>
          <w:tab w:val="right" w:pos="9360"/>
        </w:tabs>
        <w:rPr>
          <w:rFonts w:ascii="Arial" w:hAnsi="Arial" w:cs="Arial"/>
          <w:sz w:val="18"/>
          <w:szCs w:val="18"/>
          <w:lang w:val="fr-BE"/>
        </w:rPr>
      </w:pPr>
      <w:r w:rsidRPr="001C6ECB">
        <w:rPr>
          <w:rFonts w:ascii="Arial" w:hAnsi="Arial" w:cs="Arial"/>
          <w:sz w:val="18"/>
          <w:szCs w:val="18"/>
          <w:lang w:val="fr-BE"/>
        </w:rPr>
        <w:t>Pièces jointes</w:t>
      </w:r>
      <w:r w:rsidR="00C70678" w:rsidRPr="001C6ECB">
        <w:rPr>
          <w:rFonts w:ascii="Arial" w:hAnsi="Arial" w:cs="Arial"/>
          <w:sz w:val="18"/>
          <w:szCs w:val="18"/>
          <w:lang w:val="fr-BE"/>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1"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14:paraId="457478BA" w14:textId="77777777" w:rsidTr="001E02BB">
            <w:trPr>
              <w:trHeight w:val="323"/>
            </w:trPr>
            <w:tc>
              <w:tcPr>
                <w:tcW w:w="5385" w:type="dxa"/>
              </w:tcPr>
              <w:p w14:paraId="74ADAA8A" w14:textId="35A9FC11" w:rsidR="0004617B" w:rsidRDefault="001C6ECB"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6">
                      <w:r w:rsidR="00DB2652">
                        <w:rPr>
                          <w:rStyle w:val="Lienhypertexte"/>
                          <w:rFonts w:ascii="Arial" w:hAnsi="Arial" w:cs="Arial"/>
                          <w:sz w:val="18"/>
                          <w:szCs w:val="18"/>
                        </w:rPr>
                        <w:t>Annexe1_PreuvesRevenusIM.docx</w:t>
                      </w:r>
                    </w:hyperlink>
                  </w:sdtContent>
                </w:sdt>
              </w:p>
            </w:tc>
          </w:tr>
        </w:sdtContent>
      </w:sdt>
      <w:bookmarkEnd w:id="1"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1C6ECB"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1C6ECB"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223F6D32" w14:textId="77777777" w:rsidR="001C6ECB" w:rsidRPr="00AF3B0A" w:rsidRDefault="001C6ECB" w:rsidP="001C6ECB">
      <w:pPr>
        <w:pStyle w:val="Notedebasdepage"/>
        <w:rPr>
          <w:lang w:val="fr-BE"/>
        </w:rPr>
      </w:pPr>
      <w:r>
        <w:rPr>
          <w:rStyle w:val="Appelnotedebasdep"/>
        </w:rPr>
        <w:footnoteRef/>
      </w:r>
      <w:r w:rsidRPr="00AF3B0A">
        <w:rPr>
          <w:lang w:val="fr-BE"/>
        </w:rPr>
        <w:t xml:space="preserve"> Dans la liste, l’utilisation de PatrimonyService dans le contrôle systématique est déjà reprise. Toutefois, l’intégration effective des données de PatrimonyService dans les fichiers de réponse du contrôle systématique ne deviendra une réalité qu’à partir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11AC0"/>
    <w:multiLevelType w:val="multilevel"/>
    <w:tmpl w:val="ADEC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629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D6E8B"/>
    <w:rsid w:val="000F1004"/>
    <w:rsid w:val="000F16E6"/>
    <w:rsid w:val="000F3387"/>
    <w:rsid w:val="00113139"/>
    <w:rsid w:val="00134937"/>
    <w:rsid w:val="00146044"/>
    <w:rsid w:val="00163943"/>
    <w:rsid w:val="001656F6"/>
    <w:rsid w:val="00182723"/>
    <w:rsid w:val="00186209"/>
    <w:rsid w:val="00191CD2"/>
    <w:rsid w:val="00192049"/>
    <w:rsid w:val="00197101"/>
    <w:rsid w:val="001C4E6D"/>
    <w:rsid w:val="001C6ECB"/>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93CB0EB1-A61F-46C1-AD90-CB7D4C29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Notedebasdepage">
    <w:name w:val="footnote text"/>
    <w:basedOn w:val="Normal"/>
    <w:link w:val="NotedebasdepageCar"/>
    <w:uiPriority w:val="99"/>
    <w:semiHidden/>
    <w:unhideWhenUsed/>
    <w:rsid w:val="001C6ECB"/>
    <w:pPr>
      <w:spacing w:after="0" w:line="240" w:lineRule="auto"/>
    </w:pPr>
    <w:rPr>
      <w:kern w:val="2"/>
      <w:sz w:val="20"/>
      <w:szCs w:val="20"/>
      <w14:ligatures w14:val="standardContextual"/>
    </w:rPr>
  </w:style>
  <w:style w:type="character" w:customStyle="1" w:styleId="NotedebasdepageCar">
    <w:name w:val="Note de bas de page Car"/>
    <w:basedOn w:val="Policepardfaut"/>
    <w:link w:val="Notedebasdepage"/>
    <w:uiPriority w:val="99"/>
    <w:semiHidden/>
    <w:rsid w:val="001C6ECB"/>
    <w:rPr>
      <w:kern w:val="2"/>
      <w:sz w:val="20"/>
      <w:szCs w:val="20"/>
      <w14:ligatures w14:val="standardContextual"/>
    </w:rPr>
  </w:style>
  <w:style w:type="character" w:styleId="Appelnotedebasdep">
    <w:name w:val="footnote reference"/>
    <w:basedOn w:val="Policepardfaut"/>
    <w:uiPriority w:val="99"/>
    <w:semiHidden/>
    <w:unhideWhenUsed/>
    <w:rsid w:val="001C6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59474">
      <w:bodyDiv w:val="1"/>
      <w:marLeft w:val="0"/>
      <w:marRight w:val="0"/>
      <w:marTop w:val="0"/>
      <w:marBottom w:val="0"/>
      <w:divBdr>
        <w:top w:val="none" w:sz="0" w:space="0" w:color="auto"/>
        <w:left w:val="none" w:sz="0" w:space="0" w:color="auto"/>
        <w:bottom w:val="none" w:sz="0" w:space="0" w:color="auto"/>
        <w:right w:val="none" w:sz="0" w:space="0" w:color="auto"/>
      </w:divBdr>
      <w:divsChild>
        <w:div w:id="408357415">
          <w:marLeft w:val="0"/>
          <w:marRight w:val="0"/>
          <w:marTop w:val="0"/>
          <w:marBottom w:val="0"/>
          <w:divBdr>
            <w:top w:val="none" w:sz="0" w:space="0" w:color="auto"/>
            <w:left w:val="none" w:sz="0" w:space="0" w:color="auto"/>
            <w:bottom w:val="none" w:sz="0" w:space="0" w:color="auto"/>
            <w:right w:val="none" w:sz="0" w:space="0" w:color="auto"/>
          </w:divBdr>
          <w:divsChild>
            <w:div w:id="16183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1127150633/Annexe1_PreuvesRevenusIM.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ca-acces@riziv-inami.fgov.be"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0D6E8B"/>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395</Value>
      <Value>43</Value>
      <Value>14</Value>
    </TaxCatchAll>
    <Omzendbrief_x0020_datum xmlns="a445d3d8-28a8-4826-ad51-85ae78dbc123">2025-11-26T23:00:00+00:00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Omzendbrief_x0020_volgnr xmlns="a445d3d8-28a8-4826-ad51-85ae78dbc123">279</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8423</Dossier>
    <Betreft xmlns="a445d3d8-28a8-4826-ad51-85ae78dbc123">&lt;div class="ExternalClassE54C83930AB84E98BA1F523200740E2C"&gt;&lt;p&gt;​&lt;strong&gt;Bewijsstukken en inkomstenbronnen voor de toekenning en verlenging van het recht op de verhoogde tegemoetkoming (V.T.)&lt;/strong&gt;&lt;br&gt;&lt;/p&gt;&lt;/div&gt;</Betreft>
    <Betreft-FR xmlns="5c99ba27-9f4a-43d1-a433-cd21c0c58a91">&lt;div class="ExternalClass2A371BD9257C4AC0B3B23B37C512C471"&gt;&lt;p&gt;​&lt;strong&gt;Pièces justificatives et sources de revenus pour l'octroi et la prolongation du droit à l'intervention majorée (I.M)&lt;/strong&gt;​&lt;br&gt;&lt;/p&gt;&lt;/div&gt;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3991 /414</rubr_x002d_multiline>
  </documentManagement>
</p:properties>
</file>

<file path=customXml/item2.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e9039d1c-44c2-46a8-a1cc-68d24d53032b</FieldId>
      <FieldInternalName>replaces_x002d_ozb_x002d_nr</FieldInternalName>
    </FieldValueSource>
  </FieldMetadata>
  <FieldMetadata>
    <SdtId>447292552</SdtId>
    <Tag>rubr_x002d_multiline</Tag>
    <IsReadOnly>False</IsReadOnly>
    <Value><![CDATA[
399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8423</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8423</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8423</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8426</ItemId>
      <FieldId>65c6f9ed-f47d-44e6-abd1-7cdebcafdd8b</FieldId>
      <FieldInternalName>Cel_x003A_Titel</FieldInternalName>
    </FieldValueSource>
  </FieldMetadata>
</FieldMetadatas>
</file>

<file path=customXml/item3.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Props1.xml><?xml version="1.0" encoding="utf-8"?>
<ds:datastoreItem xmlns:ds="http://schemas.openxmlformats.org/officeDocument/2006/customXml" ds:itemID="{BA7489E9-BCCE-440D-B434-29E52A617D55}">
  <ds:schemaRefs>
    <ds:schemaRef ds:uri="872641a8-5ee1-4ad8-a2c8-179bbc26f47e"/>
    <ds:schemaRef ds:uri="a445d3d8-28a8-4826-ad51-85ae78dbc123"/>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sharepoint/v3"/>
    <ds:schemaRef ds:uri="http://purl.org/dc/elements/1.1/"/>
    <ds:schemaRef ds:uri="http://purl.org/dc/terms/"/>
    <ds:schemaRef ds:uri="a771fd84-99d5-44c2-9dac-0b7cb5888153"/>
    <ds:schemaRef ds:uri="5c99ba27-9f4a-43d1-a433-cd21c0c58a9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23C575D-DD73-4202-A2E8-42DAE006A6C3}">
  <ds:schemaRefs>
    <ds:schemaRef ds:uri="http://schemas.enovapoint.com/SP/FieldMetadataCollection"/>
  </ds:schemaRefs>
</ds:datastoreItem>
</file>

<file path=customXml/itemProps3.xml><?xml version="1.0" encoding="utf-8"?>
<ds:datastoreItem xmlns:ds="http://schemas.openxmlformats.org/officeDocument/2006/customXml" ds:itemID="{F585E407-AAB4-4FA6-BD3E-67030CB898D5}"/>
</file>

<file path=customXml/itemProps4.xml><?xml version="1.0" encoding="utf-8"?>
<ds:datastoreItem xmlns:ds="http://schemas.openxmlformats.org/officeDocument/2006/customXml" ds:itemID="{5D75CB5F-D0A9-4028-8A18-82086F8155E9}">
  <ds:schemaRefs/>
</ds:datastoreItem>
</file>

<file path=customXml/itemProps5.xml><?xml version="1.0" encoding="utf-8"?>
<ds:datastoreItem xmlns:ds="http://schemas.openxmlformats.org/officeDocument/2006/customXml" ds:itemID="{73D947E1-20D2-4CD4-B0F5-B135DFB51E93}">
  <ds:schemaRefs>
    <ds:schemaRef ds:uri="http://schemas.microsoft.com/sharepoint/v3/contenttype/forms/url"/>
  </ds:schemaRefs>
</ds:datastoreItem>
</file>

<file path=customXml/itemProps6.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7.xml><?xml version="1.0" encoding="utf-8"?>
<ds:datastoreItem xmlns:ds="http://schemas.openxmlformats.org/officeDocument/2006/customXml" ds:itemID="{3FC8117F-E3F7-4861-BA79-7DED2D7F6EF1}">
  <ds:schemaRefs>
    <ds:schemaRef ds:uri="http://schemas.enovapoint.com/SP/DocumentSetting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2494</Characters>
  <Application>Microsoft Office Word</Application>
  <DocSecurity>0</DocSecurity>
  <Lines>207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 justificatifs et sources de revenus pour l'octroi et l'extension du droit au remboursement préférentiel (V.T.) </dc:title>
  <dc:subject/>
  <dc:creator>Jacobs Tom</dc:creator>
  <cp:keywords/>
  <dc:description/>
  <cp:lastModifiedBy>Benjamin Minne (RIZIV-INAMI)</cp:lastModifiedBy>
  <cp:revision>35</cp:revision>
  <cp:lastPrinted>2022-08-29T07:45:00Z</cp:lastPrinted>
  <dcterms:created xsi:type="dcterms:W3CDTF">2022-03-22T13:48:00Z</dcterms:created>
  <dcterms:modified xsi:type="dcterms:W3CDTF">2025-11-27T14:24:00Z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43;#3991 - Verhoogde verzekeringstegemoetkoming|cdb6210b-c6e0-441b-83e5-32a5a832b07e</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