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9702" w14:textId="77777777" w:rsidR="008C5F0C" w:rsidRPr="00784845" w:rsidRDefault="00784845" w:rsidP="003419C2">
      <w:pPr>
        <w:jc w:val="both"/>
        <w:rPr>
          <w:lang w:val="fr-BE"/>
        </w:rPr>
      </w:pPr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fr-BE"/>
        </w:rPr>
        <w:t xml:space="preserve">Focus sur quelques interactions fréquentes dans la pratique clinique. </w:t>
      </w:r>
      <w:proofErr w:type="spellStart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>Comment</w:t>
      </w:r>
      <w:proofErr w:type="spellEnd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 xml:space="preserve"> </w:t>
      </w:r>
      <w:proofErr w:type="spellStart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>réduire</w:t>
      </w:r>
      <w:proofErr w:type="spellEnd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 xml:space="preserve"> </w:t>
      </w:r>
      <w:proofErr w:type="spellStart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>le</w:t>
      </w:r>
      <w:proofErr w:type="spellEnd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 xml:space="preserve"> </w:t>
      </w:r>
      <w:proofErr w:type="spellStart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>risque</w:t>
      </w:r>
      <w:proofErr w:type="spellEnd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 xml:space="preserve"> pour </w:t>
      </w:r>
      <w:proofErr w:type="spellStart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>le</w:t>
      </w:r>
      <w:proofErr w:type="spellEnd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 xml:space="preserve"> </w:t>
      </w:r>
      <w:proofErr w:type="spellStart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>patient</w:t>
      </w:r>
      <w:proofErr w:type="spellEnd"/>
      <w:r w:rsidRPr="00784845">
        <w:rPr>
          <w:rFonts w:ascii="Open Sans" w:eastAsia="Times New Roman" w:hAnsi="Open Sans" w:cs="Times New Roman"/>
          <w:b/>
          <w:bCs/>
          <w:color w:val="02819B"/>
          <w:sz w:val="26"/>
          <w:szCs w:val="26"/>
          <w:lang w:val="nl-NL"/>
        </w:rPr>
        <w:t xml:space="preserve"> ?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72"/>
      </w:tblGrid>
      <w:tr w:rsidR="008C5F0C" w:rsidRPr="00784845" w14:paraId="7735407C" w14:textId="77777777" w:rsidTr="008C5F0C">
        <w:tc>
          <w:tcPr>
            <w:tcW w:w="2400" w:type="dxa"/>
            <w:hideMark/>
          </w:tcPr>
          <w:p w14:paraId="20A60218" w14:textId="77777777" w:rsidR="008C5F0C" w:rsidRPr="00784845" w:rsidRDefault="008C5F0C" w:rsidP="008C5F0C">
            <w:pPr>
              <w:spacing w:before="240" w:after="240" w:line="360" w:lineRule="atLeast"/>
              <w:rPr>
                <w:rFonts w:cstheme="minorHAnsi"/>
                <w:color w:val="2D3235"/>
                <w:lang w:val="nl-BE"/>
              </w:rPr>
            </w:pPr>
            <w:r w:rsidRPr="00784845">
              <w:rPr>
                <w:rFonts w:cstheme="minorHAnsi"/>
                <w:color w:val="2D3235"/>
                <w:lang w:val="nl-BE"/>
              </w:rPr>
              <w:t>Beschrijving</w:t>
            </w:r>
          </w:p>
        </w:tc>
        <w:tc>
          <w:tcPr>
            <w:tcW w:w="6672" w:type="dxa"/>
            <w:hideMark/>
          </w:tcPr>
          <w:p w14:paraId="1BAB0872" w14:textId="77777777" w:rsidR="00784845" w:rsidRDefault="00784845" w:rsidP="00784845">
            <w:pPr>
              <w:spacing w:after="240"/>
              <w:jc w:val="both"/>
              <w:rPr>
                <w:rFonts w:cstheme="minorHAnsi"/>
                <w:color w:val="2D3235"/>
                <w:lang w:val="nl-BE"/>
              </w:rPr>
            </w:pPr>
          </w:p>
          <w:p w14:paraId="0B6FB9F6" w14:textId="77777777" w:rsidR="00784845" w:rsidRPr="00784845" w:rsidRDefault="00784845" w:rsidP="00784845">
            <w:pPr>
              <w:spacing w:after="240"/>
              <w:jc w:val="both"/>
              <w:rPr>
                <w:rFonts w:cstheme="minorHAnsi"/>
                <w:color w:val="2D3235"/>
                <w:lang w:val="nl-BE"/>
              </w:rPr>
            </w:pPr>
            <w:r w:rsidRPr="00784845">
              <w:rPr>
                <w:rFonts w:cstheme="minorHAnsi"/>
                <w:color w:val="2D3235"/>
                <w:lang w:val="fr-BE"/>
              </w:rPr>
              <w:t xml:space="preserve">Réduire le risque des effets secondaires graves découlant de quelques interactions médicamenteuses fréquentes. </w:t>
            </w:r>
            <w:r w:rsidRPr="00784845">
              <w:rPr>
                <w:rFonts w:cstheme="minorHAnsi"/>
                <w:color w:val="2D3235"/>
                <w:lang w:val="nl-BE"/>
              </w:rPr>
              <w:t xml:space="preserve">Pour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atteindre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cet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objectif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,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il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faut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comprendre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le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mécanisme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, la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relevance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clinique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, les facteurs de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risque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et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le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suivi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possible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des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interactions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médicamenteuses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suivantes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 : </w:t>
            </w:r>
          </w:p>
          <w:p w14:paraId="583DBCDA" w14:textId="77777777" w:rsidR="00784845" w:rsidRPr="00784845" w:rsidRDefault="00784845" w:rsidP="00784845">
            <w:pPr>
              <w:pStyle w:val="Lijstalinea"/>
              <w:numPr>
                <w:ilvl w:val="0"/>
                <w:numId w:val="8"/>
              </w:numPr>
              <w:spacing w:after="240"/>
              <w:jc w:val="both"/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</w:pP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Coumarines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en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combinaison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avec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des AINS et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antibiotiques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(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risque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accru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d’hémorragie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). De plus,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il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faut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comprendre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le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mécanisme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et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le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suivi des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interactions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analogues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avec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un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risque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plus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élevé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de blessures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gastriques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.</w:t>
            </w:r>
          </w:p>
          <w:p w14:paraId="5382D0A9" w14:textId="77777777" w:rsidR="00784845" w:rsidRPr="00784845" w:rsidRDefault="00784845" w:rsidP="00784845">
            <w:pPr>
              <w:pStyle w:val="Lijstalinea"/>
              <w:numPr>
                <w:ilvl w:val="0"/>
                <w:numId w:val="8"/>
              </w:numPr>
              <w:spacing w:after="240"/>
              <w:jc w:val="both"/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</w:pPr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Statines en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combinaison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avec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des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antibiotiques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et des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antimycotiques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azolés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(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risque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de </w:t>
            </w:r>
            <w:proofErr w:type="spellStart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rhabdomyolyse</w:t>
            </w:r>
            <w:proofErr w:type="spellEnd"/>
            <w:r w:rsidRPr="00784845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).</w:t>
            </w:r>
          </w:p>
          <w:p w14:paraId="5C8BB896" w14:textId="77777777" w:rsidR="00784845" w:rsidRPr="00784845" w:rsidRDefault="00784845" w:rsidP="00784845">
            <w:pPr>
              <w:spacing w:after="240"/>
              <w:jc w:val="both"/>
              <w:rPr>
                <w:rFonts w:cstheme="minorHAnsi"/>
                <w:color w:val="2D3235"/>
                <w:lang w:val="fr-BE"/>
              </w:rPr>
            </w:pPr>
            <w:r w:rsidRPr="00784845">
              <w:rPr>
                <w:rFonts w:cstheme="minorHAnsi"/>
                <w:color w:val="2D3235"/>
                <w:lang w:val="nl-BE"/>
              </w:rPr>
              <w:t xml:space="preserve">Le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médecin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et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le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pharmacien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s’accordent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finalement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sur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un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plan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d’action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en tenant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compte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des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situations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spécifiques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et des facteurs de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risque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784845">
              <w:rPr>
                <w:rFonts w:cstheme="minorHAnsi"/>
                <w:color w:val="2D3235"/>
                <w:lang w:val="nl-BE"/>
              </w:rPr>
              <w:t>supplémentaires</w:t>
            </w:r>
            <w:proofErr w:type="spellEnd"/>
            <w:r w:rsidRPr="00784845">
              <w:rPr>
                <w:rFonts w:cstheme="minorHAnsi"/>
                <w:color w:val="2D3235"/>
                <w:lang w:val="nl-BE"/>
              </w:rPr>
              <w:t>.</w:t>
            </w:r>
          </w:p>
        </w:tc>
      </w:tr>
      <w:tr w:rsidR="008C5F0C" w:rsidRPr="00E1660F" w14:paraId="321BA7AD" w14:textId="77777777" w:rsidTr="008C5F0C">
        <w:tc>
          <w:tcPr>
            <w:tcW w:w="2400" w:type="dxa"/>
            <w:hideMark/>
          </w:tcPr>
          <w:p w14:paraId="50F7C7C3" w14:textId="77777777" w:rsidR="008C5F0C" w:rsidRPr="00A70E3C" w:rsidRDefault="008C5F0C" w:rsidP="008C5F0C">
            <w:pPr>
              <w:spacing w:before="240" w:after="240" w:line="360" w:lineRule="atLeast"/>
              <w:rPr>
                <w:rFonts w:ascii="Open Sans" w:eastAsia="Times New Roman" w:hAnsi="Open Sans" w:cs="Times New Roman"/>
                <w:color w:val="2D3235"/>
                <w:sz w:val="20"/>
                <w:szCs w:val="20"/>
                <w:lang w:val="nl-BE"/>
              </w:rPr>
            </w:pPr>
            <w:r w:rsidRPr="00A70E3C">
              <w:rPr>
                <w:rFonts w:ascii="Open Sans" w:eastAsia="Times New Roman" w:hAnsi="Open Sans" w:cs="Times New Roman"/>
                <w:b/>
                <w:bCs/>
                <w:color w:val="2D3235"/>
                <w:sz w:val="20"/>
                <w:szCs w:val="20"/>
                <w:lang w:val="nl-BE"/>
              </w:rPr>
              <w:t>Taal</w:t>
            </w:r>
          </w:p>
        </w:tc>
        <w:tc>
          <w:tcPr>
            <w:tcW w:w="6672" w:type="dxa"/>
            <w:hideMark/>
          </w:tcPr>
          <w:p w14:paraId="4CB76146" w14:textId="77777777" w:rsidR="008C5F0C" w:rsidRPr="000C6B31" w:rsidRDefault="00A76051" w:rsidP="008C5F0C">
            <w:pPr>
              <w:spacing w:before="240" w:after="240" w:line="360" w:lineRule="atLeast"/>
              <w:rPr>
                <w:rFonts w:eastAsia="Times New Roman" w:cstheme="minorHAnsi"/>
                <w:color w:val="2D3235"/>
                <w:lang w:val="nl-BE"/>
              </w:rPr>
            </w:pPr>
            <w:r w:rsidRPr="000C6B31">
              <w:rPr>
                <w:rFonts w:eastAsia="Times New Roman" w:cstheme="minorHAnsi"/>
                <w:color w:val="2D3235"/>
                <w:lang w:val="nl-BE"/>
              </w:rPr>
              <w:t>NL</w:t>
            </w:r>
            <w:r w:rsidR="003419C2">
              <w:rPr>
                <w:rFonts w:eastAsia="Times New Roman" w:cstheme="minorHAnsi"/>
                <w:color w:val="2D3235"/>
                <w:lang w:val="nl-BE"/>
              </w:rPr>
              <w:t xml:space="preserve"> </w:t>
            </w:r>
          </w:p>
        </w:tc>
      </w:tr>
      <w:tr w:rsidR="008C5F0C" w:rsidRPr="005B35A2" w14:paraId="795A0299" w14:textId="77777777" w:rsidTr="008C5F0C">
        <w:trPr>
          <w:trHeight w:val="690"/>
        </w:trPr>
        <w:tc>
          <w:tcPr>
            <w:tcW w:w="2400" w:type="dxa"/>
            <w:hideMark/>
          </w:tcPr>
          <w:p w14:paraId="69FC6B3E" w14:textId="77777777" w:rsidR="008C5F0C" w:rsidRPr="00A70E3C" w:rsidRDefault="008C5F0C" w:rsidP="008C5F0C">
            <w:pPr>
              <w:spacing w:before="240" w:after="240" w:line="360" w:lineRule="atLeast"/>
              <w:rPr>
                <w:rFonts w:ascii="Open Sans" w:eastAsia="Times New Roman" w:hAnsi="Open Sans" w:cs="Times New Roman"/>
                <w:color w:val="2D3235"/>
                <w:sz w:val="20"/>
                <w:szCs w:val="20"/>
                <w:lang w:val="nl-BE"/>
              </w:rPr>
            </w:pPr>
            <w:r w:rsidRPr="00A70E3C">
              <w:rPr>
                <w:rFonts w:ascii="Open Sans" w:eastAsia="Times New Roman" w:hAnsi="Open Sans" w:cs="Times New Roman"/>
                <w:b/>
                <w:bCs/>
                <w:color w:val="2D3235"/>
                <w:sz w:val="20"/>
                <w:szCs w:val="20"/>
                <w:lang w:val="nl-BE"/>
              </w:rPr>
              <w:t>Contact</w:t>
            </w:r>
          </w:p>
        </w:tc>
        <w:tc>
          <w:tcPr>
            <w:tcW w:w="6672" w:type="dxa"/>
            <w:hideMark/>
          </w:tcPr>
          <w:p w14:paraId="4F5EEB83" w14:textId="77777777" w:rsidR="00333D95" w:rsidRDefault="00333D95" w:rsidP="005B35A2">
            <w:pPr>
              <w:spacing w:before="240" w:after="240" w:line="360" w:lineRule="atLeast"/>
              <w:rPr>
                <w:lang w:val="nl-BE"/>
              </w:rPr>
            </w:pPr>
            <w:r w:rsidRPr="00333D95">
              <w:rPr>
                <w:lang w:val="nl-BE"/>
              </w:rPr>
              <w:t xml:space="preserve">Anne-Sophie BOSSAERT </w:t>
            </w:r>
          </w:p>
          <w:p w14:paraId="23A12D77" w14:textId="118C5328" w:rsidR="002247F3" w:rsidRPr="005B35A2" w:rsidRDefault="00333D95" w:rsidP="005B35A2">
            <w:pPr>
              <w:spacing w:before="240" w:after="240" w:line="360" w:lineRule="atLeast"/>
              <w:rPr>
                <w:lang w:val="nl-BE"/>
              </w:rPr>
            </w:pPr>
            <w:r w:rsidRPr="00333D95">
              <w:t>care.quality@multipharma.be</w:t>
            </w:r>
          </w:p>
        </w:tc>
      </w:tr>
      <w:tr w:rsidR="008C5F0C" w:rsidRPr="00136F36" w14:paraId="7E4470D8" w14:textId="77777777" w:rsidTr="008C5F0C">
        <w:tc>
          <w:tcPr>
            <w:tcW w:w="2400" w:type="dxa"/>
            <w:hideMark/>
          </w:tcPr>
          <w:p w14:paraId="0D2295A8" w14:textId="77777777" w:rsidR="008C5F0C" w:rsidRPr="00D94523" w:rsidRDefault="008C5F0C" w:rsidP="008C5F0C">
            <w:pPr>
              <w:spacing w:before="240" w:after="240" w:line="360" w:lineRule="atLeast"/>
              <w:rPr>
                <w:rFonts w:ascii="Open Sans" w:eastAsia="Times New Roman" w:hAnsi="Open Sans" w:cs="Times New Roman"/>
                <w:color w:val="2D3235"/>
                <w:sz w:val="20"/>
                <w:szCs w:val="20"/>
                <w:lang w:val="nl-BE"/>
              </w:rPr>
            </w:pPr>
            <w:r w:rsidRPr="00D94523">
              <w:rPr>
                <w:rFonts w:ascii="Open Sans" w:eastAsia="Times New Roman" w:hAnsi="Open Sans" w:cs="Times New Roman"/>
                <w:b/>
                <w:bCs/>
                <w:color w:val="2D3235"/>
                <w:sz w:val="20"/>
                <w:szCs w:val="20"/>
                <w:lang w:val="nl-BE"/>
              </w:rPr>
              <w:t>Documentatiepakket - beschrijving</w:t>
            </w:r>
          </w:p>
        </w:tc>
        <w:tc>
          <w:tcPr>
            <w:tcW w:w="6672" w:type="dxa"/>
            <w:hideMark/>
          </w:tcPr>
          <w:p w14:paraId="02D3FB11" w14:textId="77777777" w:rsidR="008C5F0C" w:rsidRPr="000C6B31" w:rsidRDefault="008C5F0C" w:rsidP="008C5F0C">
            <w:pPr>
              <w:rPr>
                <w:lang w:val="nl-BE"/>
              </w:rPr>
            </w:pPr>
          </w:p>
          <w:p w14:paraId="19537506" w14:textId="3D534028" w:rsidR="00441EDE" w:rsidRPr="00441EDE" w:rsidRDefault="00441EDE" w:rsidP="00441EDE">
            <w:pPr>
              <w:spacing w:before="240" w:after="240" w:line="360" w:lineRule="atLeast"/>
              <w:rPr>
                <w:rFonts w:cstheme="minorHAnsi"/>
                <w:color w:val="2D3235"/>
                <w:lang w:val="fr-BE"/>
              </w:rPr>
            </w:pPr>
            <w:r w:rsidRPr="00333D95">
              <w:rPr>
                <w:rFonts w:cstheme="minorHAnsi"/>
                <w:color w:val="2D3235"/>
                <w:lang w:val="fr-BE"/>
              </w:rPr>
              <w:t xml:space="preserve">Un document général avec des </w:t>
            </w:r>
            <w:hyperlink r:id="rId9" w:history="1">
              <w:r w:rsidRPr="00333D95">
                <w:rPr>
                  <w:rFonts w:cstheme="minorHAnsi"/>
                  <w:color w:val="2D3235"/>
                  <w:lang w:val="fr-BE"/>
                </w:rPr>
                <w:t>outils</w:t>
              </w:r>
            </w:hyperlink>
            <w:r w:rsidRPr="00333D95">
              <w:rPr>
                <w:rFonts w:cstheme="minorHAnsi"/>
                <w:color w:val="2D3235"/>
                <w:lang w:val="fr-BE"/>
              </w:rPr>
              <w:t xml:space="preserve"> pour stimuler la concertation entre médecins et </w:t>
            </w:r>
            <w:r w:rsidRPr="00333D95">
              <w:rPr>
                <w:rFonts w:cstheme="minorHAnsi"/>
                <w:lang w:val="fr-BE"/>
              </w:rPr>
              <w:t>pharmaciens</w:t>
            </w:r>
            <w:r w:rsidRPr="00333D95">
              <w:rPr>
                <w:rFonts w:cstheme="minorHAnsi"/>
                <w:color w:val="2D3235"/>
                <w:lang w:val="fr-BE"/>
              </w:rPr>
              <w:t xml:space="preserve"> et pour enregistrer les accords conclus concernant les thérapies simultanées</w:t>
            </w:r>
            <w:r w:rsidRPr="00333D95">
              <w:rPr>
                <w:rFonts w:ascii="Open Sans" w:hAnsi="Open Sans"/>
                <w:color w:val="2D3235"/>
                <w:sz w:val="20"/>
                <w:szCs w:val="20"/>
                <w:lang w:val="fr-BE"/>
              </w:rPr>
              <w:t xml:space="preserve"> </w:t>
            </w:r>
            <w:r w:rsidRPr="00333D95">
              <w:rPr>
                <w:rFonts w:cstheme="minorHAnsi"/>
                <w:color w:val="2D3235"/>
                <w:lang w:val="fr-BE"/>
              </w:rPr>
              <w:t>av</w:t>
            </w:r>
            <w:r w:rsidRPr="00F27235">
              <w:rPr>
                <w:rFonts w:cstheme="minorHAnsi"/>
                <w:color w:val="2D3235"/>
                <w:lang w:val="fr-BE"/>
              </w:rPr>
              <w:t>ec :</w:t>
            </w:r>
          </w:p>
          <w:p w14:paraId="31BD235A" w14:textId="77777777" w:rsidR="00441EDE" w:rsidRPr="00441EDE" w:rsidRDefault="00441EDE" w:rsidP="00441ED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color w:val="2D3235"/>
                <w:lang w:val="nl-BE"/>
              </w:rPr>
            </w:pP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coumarines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 xml:space="preserve"> et AINS</w:t>
            </w:r>
          </w:p>
          <w:p w14:paraId="4001F8B4" w14:textId="77777777" w:rsidR="00441EDE" w:rsidRPr="00441EDE" w:rsidRDefault="00441EDE" w:rsidP="00441ED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color w:val="2D3235"/>
                <w:lang w:val="nl-BE"/>
              </w:rPr>
            </w:pP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coumarines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 xml:space="preserve"> et </w:t>
            </w: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antibiotiques</w:t>
            </w:r>
            <w:proofErr w:type="spellEnd"/>
          </w:p>
          <w:p w14:paraId="26AEF665" w14:textId="77777777" w:rsidR="00441EDE" w:rsidRPr="00441EDE" w:rsidRDefault="00441EDE" w:rsidP="00441ED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color w:val="2D3235"/>
                <w:lang w:val="nl-BE"/>
              </w:rPr>
            </w:pPr>
            <w:r w:rsidRPr="00441EDE">
              <w:rPr>
                <w:rFonts w:cstheme="minorHAnsi"/>
                <w:color w:val="2D3235"/>
                <w:lang w:val="nl-BE"/>
              </w:rPr>
              <w:t xml:space="preserve">statines et </w:t>
            </w: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macrolides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 xml:space="preserve">/ </w:t>
            </w: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antimycotiques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azolés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>.</w:t>
            </w:r>
          </w:p>
          <w:p w14:paraId="212F54D7" w14:textId="77777777" w:rsidR="00441EDE" w:rsidRPr="00441EDE" w:rsidRDefault="00441EDE" w:rsidP="00441EDE">
            <w:pPr>
              <w:spacing w:before="240" w:after="240" w:line="360" w:lineRule="atLeast"/>
              <w:rPr>
                <w:rFonts w:cstheme="minorHAnsi"/>
                <w:color w:val="2D3235"/>
                <w:lang w:val="nl-BE"/>
              </w:rPr>
            </w:pPr>
            <w:r w:rsidRPr="00441EDE">
              <w:rPr>
                <w:rFonts w:cstheme="minorHAnsi"/>
                <w:color w:val="2D3235"/>
                <w:lang w:val="nl-BE"/>
              </w:rPr>
              <w:t xml:space="preserve">Pour </w:t>
            </w: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chaque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interaction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 xml:space="preserve"> </w:t>
            </w:r>
            <w:proofErr w:type="spellStart"/>
            <w:r w:rsidRPr="00441EDE">
              <w:rPr>
                <w:rFonts w:cstheme="minorHAnsi"/>
                <w:color w:val="2D3235"/>
                <w:lang w:val="nl-BE"/>
              </w:rPr>
              <w:t>abordée</w:t>
            </w:r>
            <w:proofErr w:type="spellEnd"/>
            <w:r w:rsidRPr="00441EDE">
              <w:rPr>
                <w:rFonts w:cstheme="minorHAnsi"/>
                <w:color w:val="2D3235"/>
                <w:lang w:val="nl-BE"/>
              </w:rPr>
              <w:t xml:space="preserve"> : </w:t>
            </w:r>
          </w:p>
          <w:p w14:paraId="2FD66EE8" w14:textId="77777777" w:rsidR="00441EDE" w:rsidRPr="00136F36" w:rsidRDefault="00441EDE" w:rsidP="00441EDE">
            <w:pPr>
              <w:pStyle w:val="Lijstalinea"/>
              <w:numPr>
                <w:ilvl w:val="0"/>
                <w:numId w:val="8"/>
              </w:numPr>
              <w:spacing w:before="240" w:after="240" w:line="360" w:lineRule="atLeast"/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</w:pP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Une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fiche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avec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les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messages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take-home les plus importants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concernant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le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mécanisme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, les facteurs de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risque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, la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relevance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clinique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et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le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 xml:space="preserve"> suivi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possible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nl-BE"/>
              </w:rPr>
              <w:t>.</w:t>
            </w:r>
          </w:p>
          <w:p w14:paraId="506999F7" w14:textId="77777777" w:rsidR="00536A9E" w:rsidRPr="00136F36" w:rsidRDefault="00441EDE" w:rsidP="00136F36">
            <w:pPr>
              <w:pStyle w:val="Lijstalinea"/>
              <w:numPr>
                <w:ilvl w:val="0"/>
                <w:numId w:val="8"/>
              </w:numPr>
              <w:spacing w:before="240" w:after="240" w:line="360" w:lineRule="atLeast"/>
              <w:rPr>
                <w:rFonts w:asciiTheme="minorHAnsi" w:eastAsiaTheme="minorEastAsia" w:hAnsiTheme="minorHAnsi" w:cstheme="minorHAnsi"/>
                <w:color w:val="2D3235"/>
                <w:szCs w:val="22"/>
                <w:lang w:val="fr-BE"/>
              </w:rPr>
            </w:pPr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fr-BE"/>
              </w:rPr>
              <w:t xml:space="preserve">Un </w:t>
            </w:r>
            <w:proofErr w:type="spellStart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fr-BE"/>
              </w:rPr>
              <w:t>template</w:t>
            </w:r>
            <w:proofErr w:type="spellEnd"/>
            <w:r w:rsidRPr="00136F36">
              <w:rPr>
                <w:rFonts w:asciiTheme="minorHAnsi" w:eastAsiaTheme="minorEastAsia" w:hAnsiTheme="minorHAnsi" w:cstheme="minorHAnsi"/>
                <w:color w:val="2D3235"/>
                <w:szCs w:val="22"/>
                <w:lang w:val="fr-BE"/>
              </w:rPr>
              <w:t xml:space="preserve"> pour enregistrer des accords avec toutes les options abordées dans la partie théorétique (optimales et non-optimales).</w:t>
            </w:r>
          </w:p>
        </w:tc>
      </w:tr>
    </w:tbl>
    <w:p w14:paraId="22A9FFB0" w14:textId="77777777" w:rsidR="00A274F6" w:rsidRPr="00136F36" w:rsidRDefault="00A274F6">
      <w:pPr>
        <w:rPr>
          <w:lang w:val="fr-BE"/>
        </w:rPr>
      </w:pPr>
    </w:p>
    <w:sectPr w:rsidR="00A274F6" w:rsidRPr="0013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533"/>
    <w:multiLevelType w:val="hybridMultilevel"/>
    <w:tmpl w:val="D396DF10"/>
    <w:lvl w:ilvl="0" w:tplc="2EEC96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52ED"/>
    <w:multiLevelType w:val="multilevel"/>
    <w:tmpl w:val="4018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2E13"/>
    <w:multiLevelType w:val="multilevel"/>
    <w:tmpl w:val="7120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E5DD3"/>
    <w:multiLevelType w:val="multilevel"/>
    <w:tmpl w:val="75826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A4D81"/>
    <w:multiLevelType w:val="hybridMultilevel"/>
    <w:tmpl w:val="7B4C95EC"/>
    <w:lvl w:ilvl="0" w:tplc="CD7A75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9681B"/>
    <w:multiLevelType w:val="multilevel"/>
    <w:tmpl w:val="4CEA1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F0F72"/>
    <w:multiLevelType w:val="multilevel"/>
    <w:tmpl w:val="7B0C06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07F35"/>
    <w:multiLevelType w:val="hybridMultilevel"/>
    <w:tmpl w:val="C32ACB36"/>
    <w:lvl w:ilvl="0" w:tplc="FD2631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57766"/>
    <w:multiLevelType w:val="multilevel"/>
    <w:tmpl w:val="9B54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426B2"/>
    <w:multiLevelType w:val="hybridMultilevel"/>
    <w:tmpl w:val="45CE7816"/>
    <w:lvl w:ilvl="0" w:tplc="63787B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6B1B20"/>
    <w:multiLevelType w:val="multilevel"/>
    <w:tmpl w:val="B50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52132"/>
    <w:multiLevelType w:val="multilevel"/>
    <w:tmpl w:val="4962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61002"/>
    <w:multiLevelType w:val="hybridMultilevel"/>
    <w:tmpl w:val="9F841C1A"/>
    <w:lvl w:ilvl="0" w:tplc="38961D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60475554">
    <w:abstractNumId w:val="8"/>
  </w:num>
  <w:num w:numId="2" w16cid:durableId="391315848">
    <w:abstractNumId w:val="3"/>
  </w:num>
  <w:num w:numId="3" w16cid:durableId="442843435">
    <w:abstractNumId w:val="11"/>
  </w:num>
  <w:num w:numId="4" w16cid:durableId="1053962249">
    <w:abstractNumId w:val="9"/>
  </w:num>
  <w:num w:numId="5" w16cid:durableId="1720082945">
    <w:abstractNumId w:val="7"/>
  </w:num>
  <w:num w:numId="6" w16cid:durableId="1457748062">
    <w:abstractNumId w:val="0"/>
  </w:num>
  <w:num w:numId="7" w16cid:durableId="611286453">
    <w:abstractNumId w:val="12"/>
  </w:num>
  <w:num w:numId="8" w16cid:durableId="1169832538">
    <w:abstractNumId w:val="4"/>
  </w:num>
  <w:num w:numId="9" w16cid:durableId="1824619964">
    <w:abstractNumId w:val="6"/>
  </w:num>
  <w:num w:numId="10" w16cid:durableId="1535726867">
    <w:abstractNumId w:val="10"/>
  </w:num>
  <w:num w:numId="11" w16cid:durableId="1705523236">
    <w:abstractNumId w:val="1"/>
  </w:num>
  <w:num w:numId="12" w16cid:durableId="1017735537">
    <w:abstractNumId w:val="5"/>
  </w:num>
  <w:num w:numId="13" w16cid:durableId="100420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0C"/>
    <w:rsid w:val="000C6B31"/>
    <w:rsid w:val="00136F36"/>
    <w:rsid w:val="002247F3"/>
    <w:rsid w:val="002B5542"/>
    <w:rsid w:val="002F5F04"/>
    <w:rsid w:val="003150D4"/>
    <w:rsid w:val="00333D95"/>
    <w:rsid w:val="003419C2"/>
    <w:rsid w:val="00441EDE"/>
    <w:rsid w:val="00450517"/>
    <w:rsid w:val="00495104"/>
    <w:rsid w:val="004F5F54"/>
    <w:rsid w:val="00536A9E"/>
    <w:rsid w:val="005B35A2"/>
    <w:rsid w:val="005D5B04"/>
    <w:rsid w:val="006C02F3"/>
    <w:rsid w:val="00784845"/>
    <w:rsid w:val="007B0C29"/>
    <w:rsid w:val="0084078F"/>
    <w:rsid w:val="008C5F0C"/>
    <w:rsid w:val="008F5586"/>
    <w:rsid w:val="0091651B"/>
    <w:rsid w:val="009320F1"/>
    <w:rsid w:val="00A24312"/>
    <w:rsid w:val="00A274F6"/>
    <w:rsid w:val="00A70E3C"/>
    <w:rsid w:val="00A76051"/>
    <w:rsid w:val="00B55FE5"/>
    <w:rsid w:val="00C6250E"/>
    <w:rsid w:val="00D94523"/>
    <w:rsid w:val="00E1660F"/>
    <w:rsid w:val="00F27235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4B43"/>
  <w15:docId w15:val="{C53C3352-4AFC-47EC-8EC6-58C1F61C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F0C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val="fr-FR"/>
    </w:rPr>
  </w:style>
  <w:style w:type="character" w:styleId="Hyperlink">
    <w:name w:val="Hyperlink"/>
    <w:basedOn w:val="Standaardalinea-lettertype"/>
    <w:uiPriority w:val="99"/>
    <w:unhideWhenUsed/>
    <w:rsid w:val="005D5B04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F5F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5F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F5F0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5F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5F0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5F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247F3"/>
    <w:rPr>
      <w:rFonts w:ascii="Times New Roman" w:hAnsi="Times New Roman" w:cs="Times New Roman"/>
      <w:sz w:val="24"/>
      <w:szCs w:val="24"/>
    </w:rPr>
  </w:style>
  <w:style w:type="character" w:customStyle="1" w:styleId="tooltip1">
    <w:name w:val="tooltip1"/>
    <w:basedOn w:val="Standaardalinea-lettertype"/>
    <w:rsid w:val="0044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3238">
                          <w:marLeft w:val="0"/>
                          <w:marRight w:val="0"/>
                          <w:marTop w:val="10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1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4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1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0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7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03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riziv.fgov.be/SiteCollectionDocuments/lijst_MFO_programmas_werkmateriaal_0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ae7218-09dd-4d44-a374-6aba25a64e10">FUEKPKCAUJZX-681453259-2310</_dlc_DocId>
    <_dlc_DocIdUrl xmlns="43ae7218-09dd-4d44-a374-6aba25a64e10">
      <Url>https://riziv-inami.concerto.govshare.fed.be/sites/cegcem/_layouts/15/DocIdRedir.aspx?ID=FUEKPKCAUJZX-681453259-2310</Url>
      <Description>FUEKPKCAUJZX-681453259-2310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certo File" ma:contentTypeID="0x010100F06F958CB34FD24EAEED1B50A383527D00E5B7212E71A81C4DB3D28EA4AE2B0254" ma:contentTypeVersion="4" ma:contentTypeDescription="" ma:contentTypeScope="" ma:versionID="f611338f345816da9552420370f4eb0a">
  <xsd:schema xmlns:xsd="http://www.w3.org/2001/XMLSchema" xmlns:xs="http://www.w3.org/2001/XMLSchema" xmlns:p="http://schemas.microsoft.com/office/2006/metadata/properties" xmlns:ns2="43ae7218-09dd-4d44-a374-6aba25a64e10" targetNamespace="http://schemas.microsoft.com/office/2006/metadata/properties" ma:root="true" ma:fieldsID="45abfdea1f5497f2671b42dba46c1702" ns2:_="">
    <xsd:import namespace="43ae7218-09dd-4d44-a374-6aba25a64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7218-09dd-4d44-a374-6aba25a64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E1AAA-329D-44CA-BB24-D36510D13480}">
  <ds:schemaRefs>
    <ds:schemaRef ds:uri="http://schemas.microsoft.com/office/2006/metadata/properties"/>
    <ds:schemaRef ds:uri="http://schemas.microsoft.com/office/infopath/2007/PartnerControls"/>
    <ds:schemaRef ds:uri="43ae7218-09dd-4d44-a374-6aba25a64e10"/>
  </ds:schemaRefs>
</ds:datastoreItem>
</file>

<file path=customXml/itemProps2.xml><?xml version="1.0" encoding="utf-8"?>
<ds:datastoreItem xmlns:ds="http://schemas.openxmlformats.org/officeDocument/2006/customXml" ds:itemID="{9ED3809F-2B43-4A08-BD67-BF1D4BD61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2A224-4D5A-4BB0-B452-B3FE9FF1F6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419E80-4DE7-4737-B280-700BE60B5F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1460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 Putzeijs</dc:creator>
  <cp:lastModifiedBy>Cara Van Meerbeeck (RIZIV-INAMI)</cp:lastModifiedBy>
  <cp:revision>5</cp:revision>
  <dcterms:created xsi:type="dcterms:W3CDTF">2019-03-26T15:12:00Z</dcterms:created>
  <dcterms:modified xsi:type="dcterms:W3CDTF">2026-05-13T08:12:00Z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0x010100F06F958CB34FD24EAEED1B50A383527D00E5B7212E71A81C4DB3D28EA4AE2B0254</vt:lpwstr>
  </property>
  <property fmtid="{D5CDD505-2E9C-101B-9397-08002B2CF9AE}" pid="3" name="_dlc_DocIdItemGuid">
    <vt:lpwstr>d660f72f-d737-42fd-99a1-2c18dd83774a</vt:lpwstr>
  </property>
</Properties>
</file>