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68A6" w14:textId="7873286B" w:rsidR="001224EE" w:rsidRDefault="00CD1E02" w:rsidP="00CD1E02">
      <w:pPr>
        <w:pStyle w:val="Title"/>
      </w:pPr>
      <w:r w:rsidRPr="00CD1E02">
        <w:t>Juryrapport (Lange tekst en Korte tekst) in voorbereiding</w:t>
      </w:r>
    </w:p>
    <w:sectPr w:rsidR="00122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1E02"/>
    <w:rsid w:val="001224EE"/>
    <w:rsid w:val="00C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137E"/>
  <w15:chartTrackingRefBased/>
  <w15:docId w15:val="{E5E67423-58FC-4693-BB2B-F3AEC7EA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RIZIV-INAMI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Bolle (RIZIV-INAMI)</dc:creator>
  <cp:keywords/>
  <dc:description/>
  <cp:lastModifiedBy>Bruno De Bolle (RIZIV-INAMI)</cp:lastModifiedBy>
  <cp:revision>1</cp:revision>
  <dcterms:created xsi:type="dcterms:W3CDTF">2022-11-29T10:18:00Z</dcterms:created>
  <dcterms:modified xsi:type="dcterms:W3CDTF">2022-11-29T10:20:00Z</dcterms:modified>
</cp:coreProperties>
</file>