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92" w:rsidRPr="002B76B7" w:rsidRDefault="005D5892" w:rsidP="005D5892">
      <w:pPr>
        <w:pStyle w:val="Title"/>
        <w:rPr>
          <w:rFonts w:asciiTheme="minorHAnsi" w:hAnsiTheme="minorHAnsi" w:cs="Arial"/>
          <w:sz w:val="22"/>
          <w:szCs w:val="22"/>
          <w:lang w:val="fr-FR"/>
        </w:rPr>
      </w:pPr>
      <w:bookmarkStart w:id="0" w:name="_GoBack"/>
      <w:bookmarkEnd w:id="0"/>
      <w:r w:rsidRPr="002B76B7">
        <w:rPr>
          <w:rFonts w:asciiTheme="minorHAnsi" w:hAnsiTheme="minorHAnsi" w:cs="Arial"/>
          <w:sz w:val="22"/>
          <w:szCs w:val="22"/>
          <w:lang w:val="fr-FR"/>
        </w:rPr>
        <w:t>INSTITUT NATIONAL D’ASSURANCE MALADIE-INVALIDITÉ</w:t>
      </w:r>
    </w:p>
    <w:p w:rsidR="005D5892" w:rsidRPr="002B76B7" w:rsidRDefault="005D5892" w:rsidP="005D5892">
      <w:pPr>
        <w:pStyle w:val="Subtitle"/>
        <w:rPr>
          <w:rFonts w:asciiTheme="minorHAnsi" w:hAnsiTheme="minorHAnsi" w:cs="Arial"/>
          <w:b w:val="0"/>
          <w:sz w:val="22"/>
          <w:szCs w:val="22"/>
          <w:lang w:val="fr-FR"/>
        </w:rPr>
      </w:pPr>
      <w:r w:rsidRPr="002B76B7">
        <w:rPr>
          <w:rFonts w:asciiTheme="minorHAnsi" w:hAnsiTheme="minorHAnsi" w:cs="Arial"/>
          <w:b w:val="0"/>
          <w:sz w:val="22"/>
          <w:szCs w:val="22"/>
          <w:lang w:val="fr-FR"/>
        </w:rPr>
        <w:t>Établissement Public institué par la loi du 9 août 1963</w:t>
      </w:r>
    </w:p>
    <w:p w:rsidR="005D5892" w:rsidRPr="002B76B7" w:rsidRDefault="005D5892" w:rsidP="005D5892">
      <w:pPr>
        <w:pStyle w:val="Subtitle"/>
        <w:rPr>
          <w:rFonts w:asciiTheme="minorHAnsi" w:hAnsiTheme="minorHAnsi" w:cs="Arial"/>
          <w:b w:val="0"/>
          <w:sz w:val="22"/>
          <w:szCs w:val="22"/>
          <w:lang w:val="fr-FR"/>
        </w:rPr>
      </w:pPr>
      <w:r w:rsidRPr="002B76B7">
        <w:rPr>
          <w:rFonts w:asciiTheme="minorHAnsi" w:hAnsiTheme="minorHAnsi" w:cs="Arial"/>
          <w:b w:val="0"/>
          <w:sz w:val="22"/>
          <w:szCs w:val="22"/>
          <w:lang w:val="fr-FR"/>
        </w:rPr>
        <w:t>AVENUE DE TERVUEREN 211 – 1150 BRUXELLES</w:t>
      </w:r>
    </w:p>
    <w:p w:rsidR="005D5892" w:rsidRPr="002B76B7" w:rsidRDefault="005D5892" w:rsidP="005D5892">
      <w:pPr>
        <w:jc w:val="center"/>
        <w:rPr>
          <w:rFonts w:asciiTheme="minorHAnsi" w:hAnsiTheme="minorHAnsi" w:cs="Arial"/>
          <w:sz w:val="22"/>
          <w:szCs w:val="22"/>
          <w:lang w:val="fr-FR"/>
        </w:rPr>
      </w:pPr>
      <w:r w:rsidRPr="002B76B7">
        <w:rPr>
          <w:rFonts w:asciiTheme="minorHAnsi" w:hAnsiTheme="minorHAnsi" w:cs="Arial"/>
          <w:noProof/>
          <w:sz w:val="22"/>
          <w:szCs w:val="22"/>
          <w:lang w:val="en-US"/>
        </w:rPr>
        <mc:AlternateContent>
          <mc:Choice Requires="wps">
            <w:drawing>
              <wp:anchor distT="0" distB="0" distL="114300" distR="114300" simplePos="0" relativeHeight="251659264" behindDoc="0" locked="0" layoutInCell="0" allowOverlap="1" wp14:anchorId="681DC97A" wp14:editId="59C738D7">
                <wp:simplePos x="0" y="0"/>
                <wp:positionH relativeFrom="column">
                  <wp:posOffset>2057400</wp:posOffset>
                </wp:positionH>
                <wp:positionV relativeFrom="paragraph">
                  <wp:posOffset>96520</wp:posOffset>
                </wp:positionV>
                <wp:extent cx="1097280" cy="0"/>
                <wp:effectExtent l="9525"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6pt" to="24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d1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xdPk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" o:allowincell="f"/>
            </w:pict>
          </mc:Fallback>
        </mc:AlternateContent>
      </w:r>
    </w:p>
    <w:p w:rsidR="005D5892" w:rsidRPr="002B76B7" w:rsidRDefault="005D5892" w:rsidP="005D5892">
      <w:pPr>
        <w:pStyle w:val="Heading1"/>
        <w:spacing w:before="120"/>
        <w:rPr>
          <w:rFonts w:asciiTheme="minorHAnsi" w:hAnsiTheme="minorHAnsi"/>
          <w:sz w:val="22"/>
          <w:szCs w:val="22"/>
          <w:lang w:val="fr-FR"/>
        </w:rPr>
      </w:pPr>
      <w:r w:rsidRPr="002B76B7">
        <w:rPr>
          <w:rFonts w:asciiTheme="minorHAnsi" w:hAnsiTheme="minorHAnsi"/>
          <w:sz w:val="22"/>
          <w:szCs w:val="22"/>
          <w:lang w:val="fr-FR"/>
        </w:rPr>
        <w:t>Service des soins de santé</w:t>
      </w:r>
    </w:p>
    <w:p w:rsidR="005D5892" w:rsidRPr="002B76B7" w:rsidRDefault="005D5892" w:rsidP="005D5892">
      <w:pPr>
        <w:tabs>
          <w:tab w:val="left" w:pos="0"/>
          <w:tab w:val="left" w:pos="1358"/>
          <w:tab w:val="center" w:pos="6234"/>
          <w:tab w:val="left" w:pos="6480"/>
        </w:tabs>
        <w:suppressAutoHyphens/>
        <w:jc w:val="center"/>
        <w:rPr>
          <w:rFonts w:asciiTheme="minorHAnsi" w:hAnsiTheme="minorHAnsi" w:cs="Arial"/>
          <w:spacing w:val="-3"/>
          <w:sz w:val="22"/>
          <w:szCs w:val="22"/>
          <w:lang w:val="fr-FR"/>
        </w:rPr>
      </w:pPr>
    </w:p>
    <w:p w:rsidR="005D5892" w:rsidRPr="002B76B7" w:rsidRDefault="00284C9B" w:rsidP="005D5892">
      <w:pPr>
        <w:tabs>
          <w:tab w:val="center" w:pos="4819"/>
        </w:tabs>
        <w:jc w:val="center"/>
        <w:rPr>
          <w:rFonts w:asciiTheme="minorHAnsi" w:hAnsiTheme="minorHAnsi" w:cs="Arial"/>
          <w:b/>
          <w:spacing w:val="-3"/>
          <w:sz w:val="22"/>
          <w:szCs w:val="22"/>
          <w:u w:val="single"/>
          <w:lang w:val="fr-FR"/>
        </w:rPr>
      </w:pPr>
      <w:r>
        <w:rPr>
          <w:rFonts w:asciiTheme="minorHAnsi" w:hAnsiTheme="minorHAnsi" w:cs="Arial"/>
          <w:b/>
          <w:sz w:val="22"/>
          <w:szCs w:val="22"/>
          <w:u w:val="single"/>
          <w:lang w:val="fr-BE"/>
        </w:rPr>
        <w:t>DEUXIEME</w:t>
      </w:r>
      <w:r w:rsidR="005D5892" w:rsidRPr="002B76B7">
        <w:rPr>
          <w:rFonts w:asciiTheme="minorHAnsi" w:hAnsiTheme="minorHAnsi" w:cs="Arial"/>
          <w:b/>
          <w:sz w:val="22"/>
          <w:szCs w:val="22"/>
          <w:u w:val="single"/>
          <w:lang w:val="fr-BE"/>
        </w:rPr>
        <w:t xml:space="preserve"> AVENANT A LA </w:t>
      </w:r>
      <w:r w:rsidR="005D5892" w:rsidRPr="002B76B7">
        <w:rPr>
          <w:rFonts w:asciiTheme="minorHAnsi" w:hAnsiTheme="minorHAnsi" w:cs="Arial"/>
          <w:b/>
          <w:spacing w:val="-3"/>
          <w:sz w:val="22"/>
          <w:szCs w:val="22"/>
          <w:u w:val="single"/>
          <w:lang w:val="fr-FR"/>
        </w:rPr>
        <w:t>CONVENTION DE RÉÉDUCATION EN MATIÈRE</w:t>
      </w:r>
    </w:p>
    <w:p w:rsidR="005D5892" w:rsidRPr="002B76B7" w:rsidRDefault="005D5892" w:rsidP="005D5892">
      <w:pPr>
        <w:tabs>
          <w:tab w:val="center" w:pos="4818"/>
        </w:tabs>
        <w:jc w:val="center"/>
        <w:rPr>
          <w:rFonts w:asciiTheme="minorHAnsi" w:hAnsiTheme="minorHAnsi" w:cs="Arial"/>
          <w:b/>
          <w:spacing w:val="-3"/>
          <w:sz w:val="22"/>
          <w:szCs w:val="22"/>
          <w:u w:val="single"/>
          <w:lang w:val="fr-FR"/>
        </w:rPr>
      </w:pPr>
      <w:r w:rsidRPr="002B76B7">
        <w:rPr>
          <w:rFonts w:asciiTheme="minorHAnsi" w:hAnsiTheme="minorHAnsi" w:cs="Arial"/>
          <w:b/>
          <w:spacing w:val="-3"/>
          <w:sz w:val="22"/>
          <w:szCs w:val="22"/>
          <w:u w:val="single"/>
          <w:lang w:val="fr-FR"/>
        </w:rPr>
        <w:t>D'AUTOGESTION DE PATIENTS ATTEINTS DE DIABÈTE SUCRÉ</w:t>
      </w:r>
    </w:p>
    <w:p w:rsidR="008F1319" w:rsidRPr="002172F7" w:rsidRDefault="008F1319" w:rsidP="005D5892">
      <w:pPr>
        <w:tabs>
          <w:tab w:val="left" w:pos="720"/>
          <w:tab w:val="left" w:pos="3480"/>
          <w:tab w:val="center" w:pos="4680"/>
        </w:tabs>
        <w:spacing w:line="276" w:lineRule="auto"/>
        <w:rPr>
          <w:rFonts w:asciiTheme="minorHAnsi" w:hAnsiTheme="minorHAnsi" w:cs="Arial"/>
          <w:sz w:val="22"/>
          <w:szCs w:val="22"/>
          <w:lang w:val="fr-FR"/>
        </w:rPr>
      </w:pPr>
    </w:p>
    <w:p w:rsidR="008F1319" w:rsidRPr="002172F7" w:rsidRDefault="008F1319" w:rsidP="00582BC5">
      <w:pPr>
        <w:tabs>
          <w:tab w:val="left" w:pos="720"/>
          <w:tab w:val="left" w:pos="3480"/>
          <w:tab w:val="center" w:pos="4680"/>
        </w:tabs>
        <w:spacing w:line="276" w:lineRule="auto"/>
        <w:jc w:val="center"/>
        <w:rPr>
          <w:rFonts w:asciiTheme="minorHAnsi" w:hAnsiTheme="minorHAnsi" w:cs="Arial"/>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Vu la loi relative à l'assurance obligatoire soins de santé et indemnités, coordonnée le 14 juillet 1994, notamment les articles 22, 6</w:t>
      </w:r>
      <w:r w:rsidRPr="002172F7">
        <w:rPr>
          <w:rFonts w:asciiTheme="minorHAnsi" w:hAnsiTheme="minorHAnsi" w:cs="Arial"/>
          <w:spacing w:val="-2"/>
          <w:sz w:val="22"/>
          <w:szCs w:val="22"/>
          <w:lang w:val="fr-FR"/>
        </w:rPr>
        <w:sym w:font="Symbol" w:char="F0B0"/>
      </w:r>
      <w:r w:rsidRPr="002172F7">
        <w:rPr>
          <w:rFonts w:asciiTheme="minorHAnsi" w:hAnsiTheme="minorHAnsi" w:cs="Arial"/>
          <w:spacing w:val="-2"/>
          <w:sz w:val="22"/>
          <w:szCs w:val="22"/>
          <w:lang w:val="fr-FR"/>
        </w:rPr>
        <w:t xml:space="preserve"> et 23, § 3;</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Sur proposition du Collège des médecins-directeurs institué auprès du Service des soins de santé de l'Institut national d'assurance maladie-invalidité;</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Il est convenu ce qui suit entre</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d'une part,</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ab/>
      </w:r>
      <w:r w:rsidRPr="002172F7">
        <w:rPr>
          <w:rFonts w:asciiTheme="minorHAnsi" w:hAnsiTheme="minorHAnsi" w:cs="Arial"/>
          <w:spacing w:val="-2"/>
          <w:sz w:val="22"/>
          <w:szCs w:val="22"/>
          <w:lang w:val="fr-FR"/>
        </w:rPr>
        <w:tab/>
        <w:t>le Comité de l'assurance soins de santé,</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et d'autre part,</w:t>
      </w: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w:t>
      </w:r>
      <w:r w:rsidRPr="002172F7">
        <w:rPr>
          <w:rFonts w:asciiTheme="minorHAnsi" w:hAnsiTheme="minorHAnsi" w:cs="Arial"/>
          <w:spacing w:val="-2"/>
          <w:sz w:val="22"/>
          <w:szCs w:val="22"/>
          <w:lang w:val="fr-FR"/>
        </w:rPr>
        <w:fldChar w:fldCharType="begin"/>
      </w:r>
      <w:r w:rsidRPr="002172F7">
        <w:rPr>
          <w:rFonts w:asciiTheme="minorHAnsi" w:hAnsiTheme="minorHAnsi" w:cs="Arial"/>
          <w:spacing w:val="-2"/>
          <w:sz w:val="22"/>
          <w:szCs w:val="22"/>
          <w:lang w:val="fr-BE"/>
        </w:rPr>
        <w:instrText xml:space="preserve"> MERGEFIELD OverInrichtendeMachtNaam </w:instrText>
      </w:r>
      <w:r w:rsidRPr="002172F7">
        <w:rPr>
          <w:rFonts w:asciiTheme="minorHAnsi" w:hAnsiTheme="minorHAnsi" w:cs="Arial"/>
          <w:spacing w:val="-2"/>
          <w:sz w:val="22"/>
          <w:szCs w:val="22"/>
          <w:lang w:val="fr-FR"/>
        </w:rPr>
        <w:fldChar w:fldCharType="end"/>
      </w:r>
      <w:r w:rsidRPr="002172F7">
        <w:rPr>
          <w:rFonts w:asciiTheme="minorHAnsi" w:hAnsiTheme="minorHAnsi" w:cs="Arial"/>
          <w:spacing w:val="-2"/>
          <w:sz w:val="22"/>
          <w:szCs w:val="22"/>
          <w:lang w:val="fr-BE"/>
        </w:rPr>
        <w:t xml:space="preserve"> </w:t>
      </w:r>
      <w:r w:rsidRPr="002172F7">
        <w:rPr>
          <w:rFonts w:asciiTheme="minorHAnsi" w:hAnsiTheme="minorHAnsi" w:cs="Arial"/>
          <w:spacing w:val="-2"/>
          <w:sz w:val="22"/>
          <w:szCs w:val="22"/>
          <w:lang w:val="fr-FR"/>
        </w:rPr>
        <w:t xml:space="preserve">dont dépend le service de diabétologie ## à ##, service désigné dans </w:t>
      </w:r>
      <w:r w:rsidR="006A4195">
        <w:rPr>
          <w:rFonts w:asciiTheme="minorHAnsi" w:hAnsiTheme="minorHAnsi" w:cs="Arial"/>
          <w:spacing w:val="-2"/>
          <w:sz w:val="22"/>
          <w:szCs w:val="22"/>
          <w:lang w:val="fr-FR"/>
        </w:rPr>
        <w:t>le présent avenant</w:t>
      </w:r>
      <w:r w:rsidRPr="002172F7">
        <w:rPr>
          <w:rFonts w:asciiTheme="minorHAnsi" w:hAnsiTheme="minorHAnsi" w:cs="Arial"/>
          <w:spacing w:val="-2"/>
          <w:sz w:val="22"/>
          <w:szCs w:val="22"/>
          <w:lang w:val="fr-FR"/>
        </w:rPr>
        <w:t xml:space="preserve"> par le terme « établissement ».</w:t>
      </w:r>
    </w:p>
    <w:p w:rsidR="008F1319" w:rsidRPr="002172F7" w:rsidRDefault="008F1319" w:rsidP="002172F7">
      <w:pPr>
        <w:spacing w:line="276" w:lineRule="auto"/>
        <w:jc w:val="both"/>
        <w:rPr>
          <w:rFonts w:asciiTheme="minorHAnsi" w:hAnsiTheme="minorHAnsi" w:cs="Arial"/>
          <w:sz w:val="22"/>
          <w:szCs w:val="22"/>
          <w:lang w:val="fr-FR"/>
        </w:rPr>
      </w:pPr>
    </w:p>
    <w:p w:rsidR="008F1319" w:rsidRPr="002172F7" w:rsidRDefault="008F1319" w:rsidP="002172F7">
      <w:pPr>
        <w:spacing w:line="276" w:lineRule="auto"/>
        <w:jc w:val="both"/>
        <w:rPr>
          <w:rFonts w:asciiTheme="minorHAnsi" w:hAnsiTheme="minorHAnsi" w:cs="Arial"/>
          <w:sz w:val="22"/>
          <w:szCs w:val="22"/>
          <w:lang w:val="fr-FR"/>
        </w:rPr>
      </w:pPr>
    </w:p>
    <w:p w:rsidR="00FB4527" w:rsidRPr="00C879A1" w:rsidRDefault="00FB4527" w:rsidP="002172F7">
      <w:pPr>
        <w:spacing w:line="276" w:lineRule="auto"/>
        <w:jc w:val="both"/>
        <w:rPr>
          <w:rFonts w:asciiTheme="minorHAnsi" w:hAnsiTheme="minorHAnsi" w:cs="Arial"/>
          <w:b/>
          <w:sz w:val="24"/>
          <w:szCs w:val="22"/>
          <w:u w:val="single"/>
          <w:lang w:val="fr-FR"/>
        </w:rPr>
      </w:pPr>
      <w:r w:rsidRPr="00C879A1">
        <w:rPr>
          <w:rFonts w:asciiTheme="minorHAnsi" w:hAnsiTheme="minorHAnsi" w:cs="Arial"/>
          <w:b/>
          <w:sz w:val="24"/>
          <w:szCs w:val="22"/>
          <w:u w:val="single"/>
          <w:lang w:val="fr-FR"/>
        </w:rPr>
        <w:t>Article 1</w:t>
      </w:r>
      <w:r w:rsidRPr="00C879A1">
        <w:rPr>
          <w:rFonts w:asciiTheme="minorHAnsi" w:hAnsiTheme="minorHAnsi" w:cs="Arial"/>
          <w:b/>
          <w:sz w:val="24"/>
          <w:szCs w:val="22"/>
          <w:u w:val="single"/>
          <w:vertAlign w:val="superscript"/>
          <w:lang w:val="fr-FR"/>
        </w:rPr>
        <w:t>er</w:t>
      </w:r>
      <w:r w:rsidRPr="00C879A1">
        <w:rPr>
          <w:rFonts w:asciiTheme="minorHAnsi" w:hAnsiTheme="minorHAnsi" w:cs="Arial"/>
          <w:b/>
          <w:sz w:val="24"/>
          <w:szCs w:val="22"/>
          <w:u w:val="single"/>
          <w:lang w:val="fr-FR"/>
        </w:rPr>
        <w:t xml:space="preserve">. </w:t>
      </w:r>
    </w:p>
    <w:p w:rsidR="009F6DF5" w:rsidRPr="002172F7" w:rsidRDefault="009F6DF5" w:rsidP="002172F7">
      <w:pPr>
        <w:spacing w:line="276" w:lineRule="auto"/>
        <w:jc w:val="both"/>
        <w:rPr>
          <w:rFonts w:asciiTheme="minorHAnsi" w:hAnsiTheme="minorHAnsi" w:cs="Arial"/>
          <w:sz w:val="22"/>
          <w:szCs w:val="22"/>
          <w:u w:val="single"/>
          <w:lang w:val="fr-FR"/>
        </w:rPr>
      </w:pPr>
    </w:p>
    <w:p w:rsidR="009F6DF5" w:rsidRPr="002172F7" w:rsidRDefault="009F6DF5" w:rsidP="002172F7">
      <w:pPr>
        <w:tabs>
          <w:tab w:val="left" w:pos="-720"/>
        </w:tabs>
        <w:suppressAutoHyphens/>
        <w:spacing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 xml:space="preserve">Les dispositions de </w:t>
      </w:r>
      <w:r w:rsidRPr="002172F7">
        <w:rPr>
          <w:rFonts w:asciiTheme="minorHAnsi" w:hAnsiTheme="minorHAnsi" w:cs="Arial"/>
          <w:b/>
          <w:spacing w:val="-2"/>
          <w:sz w:val="22"/>
          <w:szCs w:val="22"/>
          <w:lang w:val="fr-FR"/>
        </w:rPr>
        <w:t xml:space="preserve">l’article </w:t>
      </w:r>
      <w:r w:rsidR="00284C9B">
        <w:rPr>
          <w:rFonts w:asciiTheme="minorHAnsi" w:hAnsiTheme="minorHAnsi" w:cs="Arial"/>
          <w:b/>
          <w:spacing w:val="-2"/>
          <w:sz w:val="22"/>
          <w:szCs w:val="22"/>
          <w:lang w:val="fr-FR"/>
        </w:rPr>
        <w:t>4</w:t>
      </w:r>
      <w:r w:rsidR="00103B34">
        <w:rPr>
          <w:rFonts w:asciiTheme="minorHAnsi" w:hAnsiTheme="minorHAnsi" w:cs="Arial"/>
          <w:b/>
          <w:spacing w:val="-2"/>
          <w:sz w:val="22"/>
          <w:szCs w:val="22"/>
          <w:lang w:val="fr-FR"/>
        </w:rPr>
        <w:t>,</w:t>
      </w:r>
      <w:r w:rsidR="00284C9B">
        <w:rPr>
          <w:rFonts w:asciiTheme="minorHAnsi" w:hAnsiTheme="minorHAnsi" w:cs="Arial"/>
          <w:b/>
          <w:spacing w:val="-2"/>
          <w:sz w:val="22"/>
          <w:szCs w:val="22"/>
          <w:lang w:val="fr-FR"/>
        </w:rPr>
        <w:t xml:space="preserve"> § 2</w:t>
      </w:r>
      <w:r w:rsidR="00CE21DB" w:rsidRPr="002172F7">
        <w:rPr>
          <w:rFonts w:asciiTheme="minorHAnsi" w:hAnsiTheme="minorHAnsi" w:cs="Arial"/>
          <w:spacing w:val="-2"/>
          <w:sz w:val="22"/>
          <w:szCs w:val="22"/>
          <w:lang w:val="fr-FR"/>
        </w:rPr>
        <w:t xml:space="preserve"> sont </w:t>
      </w:r>
      <w:r w:rsidR="00DF5185">
        <w:rPr>
          <w:rFonts w:asciiTheme="minorHAnsi" w:hAnsiTheme="minorHAnsi" w:cs="Arial"/>
          <w:spacing w:val="-2"/>
          <w:sz w:val="22"/>
          <w:szCs w:val="22"/>
          <w:lang w:val="fr-FR"/>
        </w:rPr>
        <w:t xml:space="preserve">supprimées et </w:t>
      </w:r>
      <w:r w:rsidR="00CE21DB" w:rsidRPr="002172F7">
        <w:rPr>
          <w:rFonts w:asciiTheme="minorHAnsi" w:hAnsiTheme="minorHAnsi" w:cs="Arial"/>
          <w:spacing w:val="-2"/>
          <w:sz w:val="22"/>
          <w:szCs w:val="22"/>
          <w:lang w:val="fr-FR"/>
        </w:rPr>
        <w:t>remplacées par les dispositions suivantes :</w:t>
      </w:r>
    </w:p>
    <w:p w:rsidR="00CE21DB" w:rsidRPr="002172F7" w:rsidRDefault="00CE21DB" w:rsidP="002172F7">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xml:space="preserve">« § 2. </w:t>
      </w:r>
      <w:r w:rsidRPr="00284C9B">
        <w:rPr>
          <w:rFonts w:asciiTheme="minorHAnsi" w:hAnsiTheme="minorHAnsi" w:cs="Arial"/>
          <w:spacing w:val="-2"/>
          <w:sz w:val="22"/>
          <w:szCs w:val="22"/>
          <w:lang w:val="fr-FR"/>
        </w:rPr>
        <w:t>En fonction de ce qui est nécessaire à l'</w:t>
      </w:r>
      <w:r>
        <w:rPr>
          <w:rFonts w:asciiTheme="minorHAnsi" w:hAnsiTheme="minorHAnsi" w:cs="Arial"/>
          <w:spacing w:val="-2"/>
          <w:sz w:val="22"/>
          <w:szCs w:val="22"/>
          <w:lang w:val="fr-FR"/>
        </w:rPr>
        <w:t xml:space="preserve">obtention d'une normoglycémie </w:t>
      </w:r>
      <w:r w:rsidRPr="00284C9B">
        <w:rPr>
          <w:rFonts w:asciiTheme="minorHAnsi" w:hAnsiTheme="minorHAnsi" w:cs="Arial"/>
          <w:spacing w:val="-2"/>
          <w:sz w:val="22"/>
          <w:szCs w:val="22"/>
          <w:lang w:val="fr-FR"/>
        </w:rPr>
        <w:t>entre autres le nombre d’injections d’insuline par jour, le port ou l’im</w:t>
      </w:r>
      <w:r>
        <w:rPr>
          <w:rFonts w:asciiTheme="minorHAnsi" w:hAnsiTheme="minorHAnsi" w:cs="Arial"/>
          <w:spacing w:val="-2"/>
          <w:sz w:val="22"/>
          <w:szCs w:val="22"/>
          <w:lang w:val="fr-FR"/>
        </w:rPr>
        <w:t>plantation d'une pompe à insuli</w:t>
      </w:r>
      <w:r w:rsidRPr="00284C9B">
        <w:rPr>
          <w:rFonts w:asciiTheme="minorHAnsi" w:hAnsiTheme="minorHAnsi" w:cs="Arial"/>
          <w:spacing w:val="-2"/>
          <w:sz w:val="22"/>
          <w:szCs w:val="22"/>
          <w:lang w:val="fr-FR"/>
        </w:rPr>
        <w:t>ne ou encore la situation ou pathologie spécif</w:t>
      </w:r>
      <w:r>
        <w:rPr>
          <w:rFonts w:asciiTheme="minorHAnsi" w:hAnsiTheme="minorHAnsi" w:cs="Arial"/>
          <w:spacing w:val="-2"/>
          <w:sz w:val="22"/>
          <w:szCs w:val="22"/>
          <w:lang w:val="fr-FR"/>
        </w:rPr>
        <w:t xml:space="preserve">ique de chaque bénéficiaire, </w:t>
      </w:r>
      <w:r w:rsidRPr="00284C9B">
        <w:rPr>
          <w:rFonts w:asciiTheme="minorHAnsi" w:hAnsiTheme="minorHAnsi" w:cs="Arial"/>
          <w:spacing w:val="-2"/>
          <w:sz w:val="22"/>
          <w:szCs w:val="22"/>
          <w:lang w:val="fr-FR"/>
        </w:rPr>
        <w:t>plusieurs groupes de bénéficiaires de la convention sont déterminés sur la base de l'intensité requise pour leur formation, leur suivi et le matériel spécialisés nécessaires au schéma indiqué pour le nombre de mesures de la valeur de la glycémie.</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sidRPr="00284C9B">
        <w:rPr>
          <w:rFonts w:asciiTheme="minorHAnsi" w:hAnsiTheme="minorHAnsi" w:cs="Arial"/>
          <w:spacing w:val="-2"/>
          <w:sz w:val="22"/>
          <w:szCs w:val="22"/>
          <w:lang w:val="fr-FR"/>
        </w:rPr>
        <w:t>Ces groupes se répartissent comme suit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sidRPr="00284C9B">
        <w:rPr>
          <w:rFonts w:asciiTheme="minorHAnsi" w:hAnsiTheme="minorHAnsi" w:cs="Arial"/>
          <w:spacing w:val="-2"/>
          <w:sz w:val="22"/>
          <w:szCs w:val="22"/>
          <w:lang w:val="fr-FR"/>
        </w:rPr>
        <w:tab/>
      </w:r>
      <w:r w:rsidRPr="00A65D47">
        <w:rPr>
          <w:rFonts w:asciiTheme="minorHAnsi" w:hAnsiTheme="minorHAnsi" w:cs="Arial"/>
          <w:b/>
          <w:spacing w:val="-2"/>
          <w:sz w:val="22"/>
          <w:szCs w:val="22"/>
          <w:lang w:val="fr-FR"/>
        </w:rPr>
        <w:t>Groupe A.</w:t>
      </w:r>
      <w:r w:rsidRPr="00284C9B">
        <w:rPr>
          <w:rFonts w:asciiTheme="minorHAnsi" w:hAnsiTheme="minorHAnsi" w:cs="Arial"/>
          <w:spacing w:val="-2"/>
          <w:sz w:val="22"/>
          <w:szCs w:val="22"/>
          <w:lang w:val="fr-FR"/>
        </w:rPr>
        <w:t xml:space="preserve"> Font partie de ce groupe les bénéficiaires suivants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Default="00284C9B" w:rsidP="00284C9B">
      <w:pPr>
        <w:pStyle w:val="ListParagraph"/>
        <w:numPr>
          <w:ilvl w:val="0"/>
          <w:numId w:val="3"/>
        </w:numPr>
        <w:tabs>
          <w:tab w:val="left" w:pos="-720"/>
        </w:tabs>
        <w:suppressAutoHyphens/>
        <w:spacing w:line="276" w:lineRule="auto"/>
        <w:jc w:val="both"/>
        <w:rPr>
          <w:rFonts w:asciiTheme="minorHAnsi" w:hAnsiTheme="minorHAnsi" w:cs="Arial"/>
          <w:spacing w:val="-2"/>
          <w:sz w:val="22"/>
          <w:szCs w:val="22"/>
        </w:rPr>
      </w:pPr>
      <w:r w:rsidRPr="00284C9B">
        <w:rPr>
          <w:rFonts w:asciiTheme="minorHAnsi" w:hAnsiTheme="minorHAnsi" w:cs="Arial"/>
          <w:spacing w:val="-2"/>
          <w:sz w:val="22"/>
          <w:szCs w:val="22"/>
        </w:rPr>
        <w:lastRenderedPageBreak/>
        <w:t>Les patients qui souffrent de diabète de type 1 ;</w:t>
      </w:r>
    </w:p>
    <w:p w:rsidR="007752CC" w:rsidRPr="00284C9B" w:rsidRDefault="007752CC" w:rsidP="007752CC">
      <w:pPr>
        <w:pStyle w:val="ListParagraph"/>
        <w:tabs>
          <w:tab w:val="left" w:pos="-720"/>
        </w:tabs>
        <w:suppressAutoHyphens/>
        <w:spacing w:line="276" w:lineRule="auto"/>
        <w:ind w:left="1080"/>
        <w:jc w:val="both"/>
        <w:rPr>
          <w:rFonts w:asciiTheme="minorHAnsi" w:hAnsiTheme="minorHAnsi" w:cs="Arial"/>
          <w:spacing w:val="-2"/>
          <w:sz w:val="22"/>
          <w:szCs w:val="22"/>
        </w:rPr>
      </w:pPr>
    </w:p>
    <w:p w:rsidR="00284C9B" w:rsidRPr="007752CC" w:rsidRDefault="00284C9B" w:rsidP="00344BE0">
      <w:pPr>
        <w:pStyle w:val="ListParagraph"/>
        <w:numPr>
          <w:ilvl w:val="0"/>
          <w:numId w:val="3"/>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L</w:t>
      </w:r>
      <w:r w:rsidRPr="00284C9B">
        <w:rPr>
          <w:rFonts w:asciiTheme="minorHAnsi" w:hAnsiTheme="minorHAnsi" w:cs="Arial"/>
          <w:spacing w:val="-2"/>
          <w:sz w:val="22"/>
          <w:szCs w:val="22"/>
        </w:rPr>
        <w:t>es patients avec une perte</w:t>
      </w:r>
      <w:r>
        <w:rPr>
          <w:rFonts w:asciiTheme="minorHAnsi" w:hAnsiTheme="minorHAnsi" w:cs="Arial"/>
          <w:spacing w:val="-2"/>
          <w:sz w:val="22"/>
          <w:szCs w:val="22"/>
        </w:rPr>
        <w:t xml:space="preserve"> quasi</w:t>
      </w:r>
      <w:r w:rsidRPr="00284C9B">
        <w:rPr>
          <w:rFonts w:asciiTheme="minorHAnsi" w:hAnsiTheme="minorHAnsi" w:cs="Arial"/>
          <w:spacing w:val="-2"/>
          <w:sz w:val="22"/>
          <w:szCs w:val="22"/>
        </w:rPr>
        <w:t xml:space="preserve"> totale de la fonction endocrine du pancréas (par exemple après une pancréatectomie totale</w:t>
      </w:r>
      <w:r>
        <w:rPr>
          <w:rFonts w:asciiTheme="minorHAnsi" w:hAnsiTheme="minorHAnsi" w:cs="Arial"/>
          <w:spacing w:val="-2"/>
          <w:sz w:val="22"/>
          <w:szCs w:val="22"/>
        </w:rPr>
        <w:t xml:space="preserve"> ou en cas de pancréatite chronique</w:t>
      </w:r>
      <w:r w:rsidRPr="00284C9B">
        <w:rPr>
          <w:rFonts w:asciiTheme="minorHAnsi" w:hAnsiTheme="minorHAnsi" w:cs="Arial"/>
          <w:spacing w:val="-2"/>
          <w:sz w:val="22"/>
          <w:szCs w:val="22"/>
        </w:rPr>
        <w:t>). Tous ces patients ont besoin, pour l'autogestion de leur diabète, d'une insulinothérapie complexe (</w:t>
      </w:r>
      <w:r>
        <w:rPr>
          <w:rFonts w:asciiTheme="minorHAnsi" w:hAnsiTheme="minorHAnsi" w:cs="Arial"/>
          <w:spacing w:val="-2"/>
          <w:sz w:val="22"/>
          <w:szCs w:val="22"/>
        </w:rPr>
        <w:t xml:space="preserve">soit par </w:t>
      </w:r>
      <w:r w:rsidRPr="00284C9B">
        <w:rPr>
          <w:rFonts w:asciiTheme="minorHAnsi" w:hAnsiTheme="minorHAnsi" w:cs="Arial"/>
          <w:spacing w:val="-2"/>
          <w:sz w:val="22"/>
          <w:szCs w:val="22"/>
        </w:rPr>
        <w:t>traitement au</w:t>
      </w:r>
      <w:r w:rsidR="00344BE0">
        <w:rPr>
          <w:rFonts w:asciiTheme="minorHAnsi" w:hAnsiTheme="minorHAnsi" w:cs="Arial"/>
          <w:spacing w:val="-2"/>
          <w:sz w:val="22"/>
          <w:szCs w:val="22"/>
        </w:rPr>
        <w:t xml:space="preserve"> moyen d'une pompe à insuline soit par</w:t>
      </w:r>
      <w:r w:rsidRPr="00344BE0">
        <w:rPr>
          <w:rFonts w:asciiTheme="minorHAnsi" w:hAnsiTheme="minorHAnsi" w:cs="Arial"/>
          <w:spacing w:val="-2"/>
          <w:sz w:val="22"/>
          <w:szCs w:val="22"/>
          <w:lang w:val="fr-BE"/>
        </w:rPr>
        <w:t xml:space="preserve"> 3 ou plus injections d’insuline</w:t>
      </w:r>
      <w:r w:rsidR="00203177">
        <w:rPr>
          <w:rFonts w:asciiTheme="minorHAnsi" w:hAnsiTheme="minorHAnsi" w:cs="Arial"/>
          <w:spacing w:val="-2"/>
          <w:sz w:val="22"/>
          <w:szCs w:val="22"/>
          <w:lang w:val="fr-BE"/>
        </w:rPr>
        <w:t xml:space="preserve">) </w:t>
      </w:r>
      <w:r w:rsidR="00344BE0">
        <w:rPr>
          <w:rFonts w:asciiTheme="minorHAnsi" w:hAnsiTheme="minorHAnsi" w:cs="Arial"/>
          <w:spacing w:val="-2"/>
          <w:sz w:val="22"/>
          <w:szCs w:val="22"/>
          <w:lang w:val="fr-BE"/>
        </w:rPr>
        <w:t>;</w:t>
      </w:r>
    </w:p>
    <w:p w:rsidR="007752CC" w:rsidRPr="007752CC" w:rsidRDefault="007752CC" w:rsidP="007752CC">
      <w:pPr>
        <w:pStyle w:val="ListParagraph"/>
        <w:rPr>
          <w:rFonts w:asciiTheme="minorHAnsi" w:hAnsiTheme="minorHAnsi" w:cs="Arial"/>
          <w:spacing w:val="-2"/>
          <w:sz w:val="22"/>
          <w:szCs w:val="22"/>
        </w:rPr>
      </w:pPr>
    </w:p>
    <w:p w:rsidR="00344BE0" w:rsidRDefault="00344BE0" w:rsidP="00344BE0">
      <w:pPr>
        <w:pStyle w:val="ListParagraph"/>
        <w:numPr>
          <w:ilvl w:val="0"/>
          <w:numId w:val="3"/>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Les patients qui souffrent de mucoviscidose traités par insuline ou par d’autres antidiabétiques injectables ;</w:t>
      </w:r>
    </w:p>
    <w:p w:rsidR="007752CC" w:rsidRPr="00747C99" w:rsidRDefault="007752CC" w:rsidP="007752CC">
      <w:pPr>
        <w:tabs>
          <w:tab w:val="left" w:pos="-720"/>
        </w:tabs>
        <w:suppressAutoHyphens/>
        <w:spacing w:line="276" w:lineRule="auto"/>
        <w:jc w:val="both"/>
        <w:rPr>
          <w:rFonts w:asciiTheme="minorHAnsi" w:hAnsiTheme="minorHAnsi" w:cs="Arial"/>
          <w:spacing w:val="-2"/>
          <w:sz w:val="22"/>
          <w:szCs w:val="22"/>
          <w:lang w:val="fr-BE"/>
        </w:rPr>
      </w:pPr>
    </w:p>
    <w:p w:rsidR="00344BE0" w:rsidRPr="007752CC" w:rsidRDefault="00344BE0" w:rsidP="00344BE0">
      <w:pPr>
        <w:pStyle w:val="ListParagraph"/>
        <w:numPr>
          <w:ilvl w:val="0"/>
          <w:numId w:val="3"/>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Les patients qui souffrent de diab</w:t>
      </w:r>
      <w:r w:rsidR="00747C99">
        <w:rPr>
          <w:rFonts w:asciiTheme="minorHAnsi" w:hAnsiTheme="minorHAnsi" w:cs="Arial"/>
          <w:spacing w:val="-2"/>
          <w:sz w:val="22"/>
          <w:szCs w:val="22"/>
        </w:rPr>
        <w:t>ète monogénique (MODY</w:t>
      </w:r>
      <w:r>
        <w:rPr>
          <w:rFonts w:asciiTheme="minorHAnsi" w:hAnsiTheme="minorHAnsi" w:cs="Arial"/>
          <w:spacing w:val="-2"/>
          <w:sz w:val="22"/>
          <w:szCs w:val="22"/>
        </w:rPr>
        <w:t>, diabète mitoc</w:t>
      </w:r>
      <w:r w:rsidR="00747C99">
        <w:rPr>
          <w:rFonts w:asciiTheme="minorHAnsi" w:hAnsiTheme="minorHAnsi" w:cs="Arial"/>
          <w:spacing w:val="-2"/>
          <w:sz w:val="22"/>
          <w:szCs w:val="22"/>
        </w:rPr>
        <w:t xml:space="preserve">hondrial ou de diabète néonatal) </w:t>
      </w:r>
      <w:r>
        <w:rPr>
          <w:rFonts w:asciiTheme="minorHAnsi" w:hAnsiTheme="minorHAnsi" w:cs="Arial"/>
          <w:spacing w:val="-2"/>
          <w:sz w:val="22"/>
          <w:szCs w:val="22"/>
        </w:rPr>
        <w:t xml:space="preserve">qui ont besoin, pour l’autogestion de leur diabète, d’une insulinothérapie complexe </w:t>
      </w:r>
      <w:r w:rsidRPr="00284C9B">
        <w:rPr>
          <w:rFonts w:asciiTheme="minorHAnsi" w:hAnsiTheme="minorHAnsi" w:cs="Arial"/>
          <w:spacing w:val="-2"/>
          <w:sz w:val="22"/>
          <w:szCs w:val="22"/>
        </w:rPr>
        <w:t>(</w:t>
      </w:r>
      <w:r>
        <w:rPr>
          <w:rFonts w:asciiTheme="minorHAnsi" w:hAnsiTheme="minorHAnsi" w:cs="Arial"/>
          <w:spacing w:val="-2"/>
          <w:sz w:val="22"/>
          <w:szCs w:val="22"/>
        </w:rPr>
        <w:t xml:space="preserve">soit par </w:t>
      </w:r>
      <w:r w:rsidRPr="00284C9B">
        <w:rPr>
          <w:rFonts w:asciiTheme="minorHAnsi" w:hAnsiTheme="minorHAnsi" w:cs="Arial"/>
          <w:spacing w:val="-2"/>
          <w:sz w:val="22"/>
          <w:szCs w:val="22"/>
        </w:rPr>
        <w:t>traitement au</w:t>
      </w:r>
      <w:r>
        <w:rPr>
          <w:rFonts w:asciiTheme="minorHAnsi" w:hAnsiTheme="minorHAnsi" w:cs="Arial"/>
          <w:spacing w:val="-2"/>
          <w:sz w:val="22"/>
          <w:szCs w:val="22"/>
        </w:rPr>
        <w:t xml:space="preserve"> moyen d'une pompe à insuline soit par</w:t>
      </w:r>
      <w:r w:rsidRPr="00344BE0">
        <w:rPr>
          <w:rFonts w:asciiTheme="minorHAnsi" w:hAnsiTheme="minorHAnsi" w:cs="Arial"/>
          <w:spacing w:val="-2"/>
          <w:sz w:val="22"/>
          <w:szCs w:val="22"/>
          <w:lang w:val="fr-BE"/>
        </w:rPr>
        <w:t xml:space="preserve"> 3 ou plus injections d’insuline et/ou autres antidiabétiques injectables par nycthémère</w:t>
      </w:r>
      <w:r w:rsidR="00922D72">
        <w:rPr>
          <w:rFonts w:asciiTheme="minorHAnsi" w:hAnsiTheme="minorHAnsi" w:cs="Arial"/>
          <w:spacing w:val="-2"/>
          <w:sz w:val="22"/>
          <w:szCs w:val="22"/>
          <w:lang w:val="fr-BE"/>
        </w:rPr>
        <w:t>)</w:t>
      </w:r>
      <w:r w:rsidR="00203177">
        <w:rPr>
          <w:rFonts w:asciiTheme="minorHAnsi" w:hAnsiTheme="minorHAnsi" w:cs="Arial"/>
          <w:spacing w:val="-2"/>
          <w:sz w:val="22"/>
          <w:szCs w:val="22"/>
          <w:lang w:val="fr-BE"/>
        </w:rPr>
        <w:t xml:space="preserve"> </w:t>
      </w:r>
      <w:r w:rsidR="007752CC">
        <w:rPr>
          <w:rFonts w:asciiTheme="minorHAnsi" w:hAnsiTheme="minorHAnsi" w:cs="Arial"/>
          <w:spacing w:val="-2"/>
          <w:sz w:val="22"/>
          <w:szCs w:val="22"/>
          <w:lang w:val="fr-BE"/>
        </w:rPr>
        <w:t>;</w:t>
      </w:r>
    </w:p>
    <w:p w:rsidR="007752CC" w:rsidRPr="00747C99" w:rsidRDefault="007752CC" w:rsidP="007752CC">
      <w:pPr>
        <w:tabs>
          <w:tab w:val="left" w:pos="-720"/>
        </w:tabs>
        <w:suppressAutoHyphens/>
        <w:spacing w:line="276" w:lineRule="auto"/>
        <w:jc w:val="both"/>
        <w:rPr>
          <w:rFonts w:asciiTheme="minorHAnsi" w:hAnsiTheme="minorHAnsi" w:cs="Arial"/>
          <w:spacing w:val="-2"/>
          <w:sz w:val="22"/>
          <w:szCs w:val="22"/>
          <w:lang w:val="fr-BE"/>
        </w:rPr>
      </w:pPr>
    </w:p>
    <w:p w:rsidR="00344BE0" w:rsidRPr="00344BE0" w:rsidRDefault="00344BE0" w:rsidP="00344BE0">
      <w:pPr>
        <w:pStyle w:val="ListParagraph"/>
        <w:numPr>
          <w:ilvl w:val="0"/>
          <w:numId w:val="3"/>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 xml:space="preserve">Les patients </w:t>
      </w:r>
      <w:r w:rsidR="00DD3045">
        <w:rPr>
          <w:rFonts w:asciiTheme="minorHAnsi" w:hAnsiTheme="minorHAnsi" w:cs="Arial"/>
          <w:spacing w:val="-2"/>
          <w:sz w:val="22"/>
          <w:szCs w:val="22"/>
        </w:rPr>
        <w:t xml:space="preserve">présentant des </w:t>
      </w:r>
      <w:r>
        <w:rPr>
          <w:rFonts w:asciiTheme="minorHAnsi" w:hAnsiTheme="minorHAnsi" w:cs="Arial"/>
          <w:spacing w:val="-2"/>
          <w:sz w:val="22"/>
          <w:szCs w:val="22"/>
        </w:rPr>
        <w:t>hypoglycémie</w:t>
      </w:r>
      <w:r w:rsidR="00DD3045">
        <w:rPr>
          <w:rFonts w:asciiTheme="minorHAnsi" w:hAnsiTheme="minorHAnsi" w:cs="Arial"/>
          <w:spacing w:val="-2"/>
          <w:sz w:val="22"/>
          <w:szCs w:val="22"/>
        </w:rPr>
        <w:t>s</w:t>
      </w:r>
      <w:r>
        <w:rPr>
          <w:rFonts w:asciiTheme="minorHAnsi" w:hAnsiTheme="minorHAnsi" w:cs="Arial"/>
          <w:spacing w:val="-2"/>
          <w:sz w:val="22"/>
          <w:szCs w:val="22"/>
        </w:rPr>
        <w:t xml:space="preserve"> organique</w:t>
      </w:r>
      <w:r w:rsidR="00DD3045">
        <w:rPr>
          <w:rFonts w:asciiTheme="minorHAnsi" w:hAnsiTheme="minorHAnsi" w:cs="Arial"/>
          <w:spacing w:val="-2"/>
          <w:sz w:val="22"/>
          <w:szCs w:val="22"/>
        </w:rPr>
        <w:t>s (insulinome, gly</w:t>
      </w:r>
      <w:r>
        <w:rPr>
          <w:rFonts w:asciiTheme="minorHAnsi" w:hAnsiTheme="minorHAnsi" w:cs="Arial"/>
          <w:spacing w:val="-2"/>
          <w:sz w:val="22"/>
          <w:szCs w:val="22"/>
        </w:rPr>
        <w:t xml:space="preserve">cogénose, </w:t>
      </w:r>
      <w:r w:rsidR="00DD3045">
        <w:rPr>
          <w:rFonts w:asciiTheme="minorHAnsi" w:hAnsiTheme="minorHAnsi" w:cs="Arial"/>
          <w:spacing w:val="-2"/>
          <w:sz w:val="22"/>
          <w:szCs w:val="22"/>
        </w:rPr>
        <w:t xml:space="preserve">nésidioblastose) </w:t>
      </w:r>
      <w:r w:rsidR="007C6A0B">
        <w:rPr>
          <w:rFonts w:asciiTheme="minorHAnsi" w:hAnsiTheme="minorHAnsi" w:cs="Arial"/>
          <w:spacing w:val="-2"/>
          <w:sz w:val="22"/>
          <w:szCs w:val="22"/>
        </w:rPr>
        <w:t xml:space="preserve">qui souffrent </w:t>
      </w:r>
      <w:r w:rsidR="007752CC">
        <w:rPr>
          <w:rFonts w:asciiTheme="minorHAnsi" w:hAnsiTheme="minorHAnsi" w:cs="Arial"/>
          <w:spacing w:val="-2"/>
          <w:sz w:val="22"/>
          <w:szCs w:val="22"/>
        </w:rPr>
        <w:t xml:space="preserve">d’hypoglycémies sévères persistantes nécessitant </w:t>
      </w:r>
      <w:r w:rsidR="00AB35D7" w:rsidRPr="00680588">
        <w:rPr>
          <w:rFonts w:asciiTheme="minorHAnsi" w:hAnsiTheme="minorHAnsi" w:cs="Arial"/>
          <w:spacing w:val="-2"/>
          <w:sz w:val="22"/>
          <w:szCs w:val="22"/>
        </w:rPr>
        <w:t xml:space="preserve">souvent </w:t>
      </w:r>
      <w:r w:rsidR="007752CC" w:rsidRPr="00680588">
        <w:rPr>
          <w:rFonts w:asciiTheme="minorHAnsi" w:hAnsiTheme="minorHAnsi" w:cs="Arial"/>
          <w:spacing w:val="-2"/>
          <w:sz w:val="22"/>
          <w:szCs w:val="22"/>
        </w:rPr>
        <w:t>l’aide d’un tiers et/</w:t>
      </w:r>
      <w:r w:rsidR="00203177" w:rsidRPr="00680588">
        <w:rPr>
          <w:rFonts w:asciiTheme="minorHAnsi" w:hAnsiTheme="minorHAnsi" w:cs="Arial"/>
          <w:spacing w:val="-2"/>
          <w:sz w:val="22"/>
          <w:szCs w:val="22"/>
        </w:rPr>
        <w:t>ou l’</w:t>
      </w:r>
      <w:r w:rsidR="007752CC" w:rsidRPr="00680588">
        <w:rPr>
          <w:rFonts w:asciiTheme="minorHAnsi" w:hAnsiTheme="minorHAnsi" w:cs="Arial"/>
          <w:spacing w:val="-2"/>
          <w:sz w:val="22"/>
          <w:szCs w:val="22"/>
        </w:rPr>
        <w:t xml:space="preserve">appel </w:t>
      </w:r>
      <w:r w:rsidR="00203177" w:rsidRPr="00680588">
        <w:rPr>
          <w:rFonts w:asciiTheme="minorHAnsi" w:hAnsiTheme="minorHAnsi" w:cs="Arial"/>
          <w:spacing w:val="-2"/>
          <w:sz w:val="22"/>
          <w:szCs w:val="22"/>
        </w:rPr>
        <w:t>d’</w:t>
      </w:r>
      <w:r w:rsidR="007752CC" w:rsidRPr="00680588">
        <w:rPr>
          <w:rFonts w:asciiTheme="minorHAnsi" w:hAnsiTheme="minorHAnsi" w:cs="Arial"/>
          <w:spacing w:val="-2"/>
          <w:sz w:val="22"/>
          <w:szCs w:val="22"/>
        </w:rPr>
        <w:t xml:space="preserve">une ambulance et/ou </w:t>
      </w:r>
      <w:r w:rsidR="00203177" w:rsidRPr="00680588">
        <w:rPr>
          <w:rFonts w:asciiTheme="minorHAnsi" w:hAnsiTheme="minorHAnsi" w:cs="Arial"/>
          <w:spacing w:val="-2"/>
          <w:sz w:val="22"/>
          <w:szCs w:val="22"/>
        </w:rPr>
        <w:t>une hospitalisation est nécessaire</w:t>
      </w:r>
      <w:r w:rsidR="007752CC" w:rsidRPr="00680588">
        <w:rPr>
          <w:rFonts w:asciiTheme="minorHAnsi" w:hAnsiTheme="minorHAnsi" w:cs="Arial"/>
          <w:spacing w:val="-2"/>
          <w:sz w:val="22"/>
          <w:szCs w:val="22"/>
        </w:rPr>
        <w:t>.</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sidRPr="00284C9B">
        <w:rPr>
          <w:rFonts w:asciiTheme="minorHAnsi" w:hAnsiTheme="minorHAnsi" w:cs="Arial"/>
          <w:spacing w:val="-2"/>
          <w:sz w:val="22"/>
          <w:szCs w:val="22"/>
          <w:lang w:val="fr-FR"/>
        </w:rPr>
        <w:tab/>
      </w:r>
      <w:r w:rsidRPr="00A65D47">
        <w:rPr>
          <w:rFonts w:asciiTheme="minorHAnsi" w:hAnsiTheme="minorHAnsi" w:cs="Arial"/>
          <w:b/>
          <w:spacing w:val="-2"/>
          <w:sz w:val="22"/>
          <w:szCs w:val="22"/>
          <w:lang w:val="fr-FR"/>
        </w:rPr>
        <w:t>Groupe B.</w:t>
      </w:r>
      <w:r w:rsidRPr="00284C9B">
        <w:rPr>
          <w:rFonts w:asciiTheme="minorHAnsi" w:hAnsiTheme="minorHAnsi" w:cs="Arial"/>
          <w:spacing w:val="-2"/>
          <w:sz w:val="22"/>
          <w:szCs w:val="22"/>
          <w:lang w:val="fr-FR"/>
        </w:rPr>
        <w:t xml:space="preserve"> Font partie de ce groupe les bénéficiaires suivants:</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7752CC" w:rsidRDefault="00284C9B" w:rsidP="007752CC">
      <w:pPr>
        <w:pStyle w:val="ListParagraph"/>
        <w:numPr>
          <w:ilvl w:val="0"/>
          <w:numId w:val="4"/>
        </w:numPr>
        <w:tabs>
          <w:tab w:val="left" w:pos="-720"/>
        </w:tabs>
        <w:suppressAutoHyphens/>
        <w:spacing w:line="276" w:lineRule="auto"/>
        <w:jc w:val="both"/>
        <w:rPr>
          <w:rFonts w:asciiTheme="minorHAnsi" w:hAnsiTheme="minorHAnsi" w:cs="Arial"/>
          <w:spacing w:val="-2"/>
          <w:sz w:val="22"/>
          <w:szCs w:val="22"/>
        </w:rPr>
      </w:pPr>
      <w:r w:rsidRPr="007752CC">
        <w:rPr>
          <w:rFonts w:asciiTheme="minorHAnsi" w:hAnsiTheme="minorHAnsi" w:cs="Arial"/>
          <w:spacing w:val="-2"/>
          <w:sz w:val="22"/>
          <w:szCs w:val="22"/>
        </w:rPr>
        <w:t>Les diabétiques qui souffrent de diabète de type 2 ou d’autres formes de diabète et qui ont besoin, pour l'autogestion de leur diabète, d'un traitement complexe au moyen d’antidiabétiques injectables (</w:t>
      </w:r>
      <w:r w:rsidR="00103B34">
        <w:rPr>
          <w:rFonts w:asciiTheme="minorHAnsi" w:hAnsiTheme="minorHAnsi" w:cs="Arial"/>
          <w:spacing w:val="-2"/>
          <w:sz w:val="22"/>
          <w:szCs w:val="22"/>
        </w:rPr>
        <w:t xml:space="preserve">soit </w:t>
      </w:r>
      <w:r w:rsidRPr="007752CC">
        <w:rPr>
          <w:rFonts w:asciiTheme="minorHAnsi" w:hAnsiTheme="minorHAnsi" w:cs="Arial"/>
          <w:spacing w:val="-2"/>
          <w:sz w:val="22"/>
          <w:szCs w:val="22"/>
        </w:rPr>
        <w:t xml:space="preserve">3 ou plus injections d’insuline et/ou autres antidiabétiques injectables par nycthémère </w:t>
      </w:r>
      <w:r w:rsidR="00103B34">
        <w:rPr>
          <w:rFonts w:asciiTheme="minorHAnsi" w:hAnsiTheme="minorHAnsi" w:cs="Arial"/>
          <w:spacing w:val="-2"/>
          <w:sz w:val="22"/>
          <w:szCs w:val="22"/>
        </w:rPr>
        <w:t xml:space="preserve">soit </w:t>
      </w:r>
      <w:r w:rsidRPr="007752CC">
        <w:rPr>
          <w:rFonts w:asciiTheme="minorHAnsi" w:hAnsiTheme="minorHAnsi" w:cs="Arial"/>
          <w:spacing w:val="-2"/>
          <w:sz w:val="22"/>
          <w:szCs w:val="22"/>
        </w:rPr>
        <w:t>2 injections de tels produits par nycthémère dans le cas où ces injections sont complétées – pour certains jours – avec une injection complémentaire d’un antidiabétique dont le fonctionnement couvre plusieurs nycthémères)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sidRPr="00284C9B">
        <w:rPr>
          <w:rFonts w:asciiTheme="minorHAnsi" w:hAnsiTheme="minorHAnsi" w:cs="Arial"/>
          <w:spacing w:val="-2"/>
          <w:sz w:val="22"/>
          <w:szCs w:val="22"/>
          <w:lang w:val="fr-FR"/>
        </w:rPr>
        <w:t xml:space="preserve"> </w:t>
      </w:r>
    </w:p>
    <w:p w:rsidR="00284C9B" w:rsidRPr="00284C9B" w:rsidRDefault="00284C9B" w:rsidP="007752CC">
      <w:pPr>
        <w:pStyle w:val="ListParagraph"/>
        <w:numPr>
          <w:ilvl w:val="0"/>
          <w:numId w:val="4"/>
        </w:numPr>
        <w:tabs>
          <w:tab w:val="left" w:pos="-720"/>
        </w:tabs>
        <w:suppressAutoHyphens/>
        <w:spacing w:line="276" w:lineRule="auto"/>
        <w:jc w:val="both"/>
        <w:rPr>
          <w:rFonts w:asciiTheme="minorHAnsi" w:hAnsiTheme="minorHAnsi" w:cs="Arial"/>
          <w:spacing w:val="-2"/>
          <w:sz w:val="22"/>
          <w:szCs w:val="22"/>
        </w:rPr>
      </w:pPr>
      <w:r w:rsidRPr="00284C9B">
        <w:rPr>
          <w:rFonts w:asciiTheme="minorHAnsi" w:hAnsiTheme="minorHAnsi" w:cs="Arial"/>
          <w:spacing w:val="-2"/>
          <w:sz w:val="22"/>
          <w:szCs w:val="22"/>
        </w:rPr>
        <w:t xml:space="preserve">Les femmes qui présentent un diabète </w:t>
      </w:r>
      <w:r w:rsidR="007752CC">
        <w:rPr>
          <w:rFonts w:asciiTheme="minorHAnsi" w:hAnsiTheme="minorHAnsi" w:cs="Arial"/>
          <w:spacing w:val="-2"/>
          <w:sz w:val="22"/>
          <w:szCs w:val="22"/>
        </w:rPr>
        <w:t xml:space="preserve">de grossesse traitées par </w:t>
      </w:r>
      <w:r w:rsidRPr="00284C9B">
        <w:rPr>
          <w:rFonts w:asciiTheme="minorHAnsi" w:hAnsiTheme="minorHAnsi" w:cs="Arial"/>
          <w:spacing w:val="-2"/>
          <w:sz w:val="22"/>
          <w:szCs w:val="22"/>
        </w:rPr>
        <w:t xml:space="preserve">insuline ;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Default="007752CC" w:rsidP="007752CC">
      <w:pPr>
        <w:pStyle w:val="ListParagraph"/>
        <w:numPr>
          <w:ilvl w:val="0"/>
          <w:numId w:val="4"/>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L</w:t>
      </w:r>
      <w:r w:rsidR="00284C9B" w:rsidRPr="00284C9B">
        <w:rPr>
          <w:rFonts w:asciiTheme="minorHAnsi" w:hAnsiTheme="minorHAnsi" w:cs="Arial"/>
          <w:spacing w:val="-2"/>
          <w:sz w:val="22"/>
          <w:szCs w:val="22"/>
        </w:rPr>
        <w:t>es diabétiques après une transplantation d’organe ou traités au moyen d’une dialyse rénale, s’ils sont tr</w:t>
      </w:r>
      <w:r>
        <w:rPr>
          <w:rFonts w:asciiTheme="minorHAnsi" w:hAnsiTheme="minorHAnsi" w:cs="Arial"/>
          <w:spacing w:val="-2"/>
          <w:sz w:val="22"/>
          <w:szCs w:val="22"/>
        </w:rPr>
        <w:t>aités avec de l’insuline ;</w:t>
      </w:r>
    </w:p>
    <w:p w:rsidR="007752CC" w:rsidRPr="007752CC" w:rsidRDefault="007752CC" w:rsidP="007752CC">
      <w:pPr>
        <w:pStyle w:val="ListParagraph"/>
        <w:rPr>
          <w:rFonts w:asciiTheme="minorHAnsi" w:hAnsiTheme="minorHAnsi" w:cs="Arial"/>
          <w:spacing w:val="-2"/>
          <w:sz w:val="22"/>
          <w:szCs w:val="22"/>
        </w:rPr>
      </w:pPr>
    </w:p>
    <w:p w:rsidR="007752CC" w:rsidRPr="00284C9B" w:rsidRDefault="007752CC" w:rsidP="007752CC">
      <w:pPr>
        <w:pStyle w:val="ListParagraph"/>
        <w:numPr>
          <w:ilvl w:val="0"/>
          <w:numId w:val="4"/>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Les femmes diabétiques qui ont un désir de grossesse et qui sont traitées par insuline et/ou par d’autre antidiabétiques injectables (pendant maximum 1 an</w:t>
      </w:r>
      <w:r w:rsidR="00A23C99">
        <w:rPr>
          <w:rFonts w:asciiTheme="minorHAnsi" w:hAnsiTheme="minorHAnsi" w:cs="Arial"/>
          <w:spacing w:val="-2"/>
          <w:sz w:val="22"/>
          <w:szCs w:val="22"/>
        </w:rPr>
        <w:t>, sauf exceptions justifiées).</w:t>
      </w:r>
      <w:r>
        <w:rPr>
          <w:rFonts w:asciiTheme="minorHAnsi" w:hAnsiTheme="minorHAnsi" w:cs="Arial"/>
          <w:spacing w:val="-2"/>
          <w:sz w:val="22"/>
          <w:szCs w:val="22"/>
        </w:rPr>
        <w:t xml:space="preserve">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sidRPr="00284C9B">
        <w:rPr>
          <w:rFonts w:asciiTheme="minorHAnsi" w:hAnsiTheme="minorHAnsi" w:cs="Arial"/>
          <w:spacing w:val="-2"/>
          <w:sz w:val="22"/>
          <w:szCs w:val="22"/>
          <w:lang w:val="fr-FR"/>
        </w:rPr>
        <w:tab/>
      </w:r>
      <w:r w:rsidRPr="00A65D47">
        <w:rPr>
          <w:rFonts w:asciiTheme="minorHAnsi" w:hAnsiTheme="minorHAnsi" w:cs="Arial"/>
          <w:b/>
          <w:spacing w:val="-2"/>
          <w:sz w:val="22"/>
          <w:szCs w:val="22"/>
          <w:lang w:val="fr-FR"/>
        </w:rPr>
        <w:t>Groupe C.</w:t>
      </w:r>
      <w:r w:rsidRPr="00284C9B">
        <w:rPr>
          <w:rFonts w:asciiTheme="minorHAnsi" w:hAnsiTheme="minorHAnsi" w:cs="Arial"/>
          <w:spacing w:val="-2"/>
          <w:sz w:val="22"/>
          <w:szCs w:val="22"/>
          <w:lang w:val="fr-FR"/>
        </w:rPr>
        <w:t xml:space="preserve"> Font partie de ce groupe les bénéficiaires suivants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A23C99">
      <w:pPr>
        <w:pStyle w:val="ListParagraph"/>
        <w:numPr>
          <w:ilvl w:val="0"/>
          <w:numId w:val="5"/>
        </w:numPr>
        <w:tabs>
          <w:tab w:val="left" w:pos="-720"/>
        </w:tabs>
        <w:suppressAutoHyphens/>
        <w:spacing w:line="276" w:lineRule="auto"/>
        <w:jc w:val="both"/>
        <w:rPr>
          <w:rFonts w:asciiTheme="minorHAnsi" w:hAnsiTheme="minorHAnsi" w:cs="Arial"/>
          <w:spacing w:val="-2"/>
          <w:sz w:val="22"/>
          <w:szCs w:val="22"/>
        </w:rPr>
      </w:pPr>
      <w:r w:rsidRPr="00284C9B">
        <w:rPr>
          <w:rFonts w:asciiTheme="minorHAnsi" w:hAnsiTheme="minorHAnsi" w:cs="Arial"/>
          <w:spacing w:val="-2"/>
          <w:sz w:val="22"/>
          <w:szCs w:val="22"/>
        </w:rPr>
        <w:t xml:space="preserve">Les diabétiques traités avec 2 injections d'insuline ou plus et/ou avec d’autres antidiabétiques injectables par nycthémère ainsi que les diabétiques traités avec 1 injection de tels produits par nycthémère, dans le cas où cette injection est complétée - pour certains jours - par une injection complémentaire  d’un antidiabétique dont le fonctionnement couvre plusieurs </w:t>
      </w:r>
      <w:r w:rsidRPr="00284C9B">
        <w:rPr>
          <w:rFonts w:asciiTheme="minorHAnsi" w:hAnsiTheme="minorHAnsi" w:cs="Arial"/>
          <w:spacing w:val="-2"/>
          <w:sz w:val="22"/>
          <w:szCs w:val="22"/>
        </w:rPr>
        <w:lastRenderedPageBreak/>
        <w:t>nycthémères. Ces diabétiques présentent en sus une multimorbidité qui se caractérise par l'apparition d'une situation médicale grave à côté du diabète, par exemple une affection oncologique, une BPCO avec des corticoïdes changeant fréquemment, un nouveau diagnostic de diabète après un infarctus aigu du myocarde (IAM), un AVC. Ces bénéficiaires n’entrent en ligne de compte que pour une prise en charge temporaire par l’établissement, pas plus de 6 mois, et qu’après une concertation préalable entre le médecin généraliste et le médecin de l’établissement au sujet de cette prise en charge temporaire dans le cadre de la présente convention. L’établissement doit faire mention de ce qui a été convenu avec le médecin généraliste dans le dossier d’éducation individuel du bénéficiaire (dont question à l’article 9).</w:t>
      </w:r>
      <w:r w:rsidR="00A23C99">
        <w:rPr>
          <w:rFonts w:asciiTheme="minorHAnsi" w:hAnsiTheme="minorHAnsi" w:cs="Arial"/>
          <w:spacing w:val="-2"/>
          <w:sz w:val="22"/>
          <w:szCs w:val="22"/>
        </w:rPr>
        <w:t xml:space="preserve"> La période précédemment autorisée ne peut être prolongée qu’une seule fois</w:t>
      </w:r>
      <w:r w:rsidR="00103B34">
        <w:rPr>
          <w:rFonts w:asciiTheme="minorHAnsi" w:hAnsiTheme="minorHAnsi" w:cs="Arial"/>
          <w:spacing w:val="-2"/>
          <w:sz w:val="22"/>
          <w:szCs w:val="22"/>
        </w:rPr>
        <w:t xml:space="preserve"> au maximum</w:t>
      </w:r>
      <w:r w:rsidR="00A23C99">
        <w:rPr>
          <w:rFonts w:asciiTheme="minorHAnsi" w:hAnsiTheme="minorHAnsi" w:cs="Arial"/>
          <w:spacing w:val="-2"/>
          <w:sz w:val="22"/>
          <w:szCs w:val="22"/>
        </w:rPr>
        <w:t xml:space="preserve">.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r w:rsidRPr="00284C9B">
        <w:rPr>
          <w:rFonts w:asciiTheme="minorHAnsi" w:hAnsiTheme="minorHAnsi" w:cs="Arial"/>
          <w:spacing w:val="-2"/>
          <w:sz w:val="22"/>
          <w:szCs w:val="22"/>
          <w:lang w:val="fr-FR"/>
        </w:rPr>
        <w:t>2.</w:t>
      </w:r>
      <w:r w:rsidRPr="00284C9B">
        <w:rPr>
          <w:rFonts w:asciiTheme="minorHAnsi" w:hAnsiTheme="minorHAnsi" w:cs="Arial"/>
          <w:spacing w:val="-2"/>
          <w:sz w:val="22"/>
          <w:szCs w:val="22"/>
          <w:lang w:val="fr-FR"/>
        </w:rPr>
        <w:tab/>
        <w:t>Les patients qui répondent à une des situations suivantes:</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803832" w:rsidRDefault="00284C9B" w:rsidP="00803832">
      <w:pPr>
        <w:pStyle w:val="ListParagraph"/>
        <w:numPr>
          <w:ilvl w:val="0"/>
          <w:numId w:val="6"/>
        </w:numPr>
        <w:tabs>
          <w:tab w:val="left" w:pos="-720"/>
        </w:tabs>
        <w:suppressAutoHyphens/>
        <w:spacing w:line="276" w:lineRule="auto"/>
        <w:jc w:val="both"/>
        <w:rPr>
          <w:rFonts w:asciiTheme="minorHAnsi" w:hAnsiTheme="minorHAnsi" w:cs="Arial"/>
          <w:spacing w:val="-2"/>
          <w:sz w:val="22"/>
          <w:szCs w:val="22"/>
        </w:rPr>
      </w:pPr>
      <w:r w:rsidRPr="00803832">
        <w:rPr>
          <w:rFonts w:asciiTheme="minorHAnsi" w:hAnsiTheme="minorHAnsi" w:cs="Arial"/>
          <w:spacing w:val="-2"/>
          <w:sz w:val="22"/>
          <w:szCs w:val="22"/>
        </w:rPr>
        <w:t>les diabétiques après une transplantation d’organe ou traités au moyen d’une dialyse rénale, s’ils ne sont pas traités avec de l’insuline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803832" w:rsidRDefault="00284C9B" w:rsidP="00803832">
      <w:pPr>
        <w:pStyle w:val="ListParagraph"/>
        <w:numPr>
          <w:ilvl w:val="0"/>
          <w:numId w:val="6"/>
        </w:numPr>
        <w:tabs>
          <w:tab w:val="left" w:pos="-720"/>
        </w:tabs>
        <w:suppressAutoHyphens/>
        <w:spacing w:line="276" w:lineRule="auto"/>
        <w:jc w:val="both"/>
        <w:rPr>
          <w:rFonts w:asciiTheme="minorHAnsi" w:hAnsiTheme="minorHAnsi" w:cs="Arial"/>
          <w:spacing w:val="-2"/>
          <w:sz w:val="22"/>
          <w:szCs w:val="22"/>
        </w:rPr>
      </w:pPr>
      <w:r w:rsidRPr="00803832">
        <w:rPr>
          <w:rFonts w:asciiTheme="minorHAnsi" w:hAnsiTheme="minorHAnsi" w:cs="Arial"/>
          <w:spacing w:val="-2"/>
          <w:sz w:val="22"/>
          <w:szCs w:val="22"/>
        </w:rPr>
        <w:t>les patients présentant des hypoglycémies organiques (insulinome, glycogénose, nésidioblastose)</w:t>
      </w:r>
      <w:r w:rsidR="00AB35D7">
        <w:rPr>
          <w:rFonts w:asciiTheme="minorHAnsi" w:hAnsiTheme="minorHAnsi" w:cs="Arial"/>
          <w:spacing w:val="-2"/>
          <w:sz w:val="22"/>
          <w:szCs w:val="22"/>
        </w:rPr>
        <w:t xml:space="preserve"> qui ne répondent pas aux conditions du groupe A.5</w:t>
      </w:r>
      <w:r w:rsidRPr="00803832">
        <w:rPr>
          <w:rFonts w:asciiTheme="minorHAnsi" w:hAnsiTheme="minorHAnsi" w:cs="Arial"/>
          <w:spacing w:val="-2"/>
          <w:sz w:val="22"/>
          <w:szCs w:val="22"/>
        </w:rPr>
        <w:t xml:space="preserve"> ;</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284C9B" w:rsidRPr="00803832" w:rsidRDefault="00284C9B" w:rsidP="00803832">
      <w:pPr>
        <w:pStyle w:val="ListParagraph"/>
        <w:numPr>
          <w:ilvl w:val="0"/>
          <w:numId w:val="6"/>
        </w:numPr>
        <w:tabs>
          <w:tab w:val="left" w:pos="-720"/>
        </w:tabs>
        <w:suppressAutoHyphens/>
        <w:spacing w:line="276" w:lineRule="auto"/>
        <w:jc w:val="both"/>
        <w:rPr>
          <w:rFonts w:asciiTheme="minorHAnsi" w:hAnsiTheme="minorHAnsi" w:cs="Arial"/>
          <w:spacing w:val="-2"/>
          <w:sz w:val="22"/>
          <w:szCs w:val="22"/>
        </w:rPr>
      </w:pPr>
      <w:r w:rsidRPr="00803832">
        <w:rPr>
          <w:rFonts w:asciiTheme="minorHAnsi" w:hAnsiTheme="minorHAnsi" w:cs="Arial"/>
          <w:spacing w:val="-2"/>
          <w:sz w:val="22"/>
          <w:szCs w:val="22"/>
        </w:rPr>
        <w:t>les femmes qui présentent un diabète de grossesse, traitées sans insuline;</w:t>
      </w:r>
    </w:p>
    <w:p w:rsidR="00284C9B" w:rsidRPr="00284C9B" w:rsidRDefault="00284C9B" w:rsidP="00284C9B">
      <w:pPr>
        <w:tabs>
          <w:tab w:val="left" w:pos="-720"/>
        </w:tabs>
        <w:suppressAutoHyphens/>
        <w:spacing w:line="276" w:lineRule="auto"/>
        <w:jc w:val="both"/>
        <w:rPr>
          <w:rFonts w:asciiTheme="minorHAnsi" w:hAnsiTheme="minorHAnsi" w:cs="Arial"/>
          <w:spacing w:val="-2"/>
          <w:sz w:val="22"/>
          <w:szCs w:val="22"/>
          <w:lang w:val="fr-FR"/>
        </w:rPr>
      </w:pPr>
    </w:p>
    <w:p w:rsidR="00CE21DB" w:rsidRDefault="00284C9B" w:rsidP="00803832">
      <w:pPr>
        <w:pStyle w:val="ListParagraph"/>
        <w:numPr>
          <w:ilvl w:val="0"/>
          <w:numId w:val="6"/>
        </w:numPr>
        <w:tabs>
          <w:tab w:val="left" w:pos="-720"/>
        </w:tabs>
        <w:suppressAutoHyphens/>
        <w:spacing w:line="276" w:lineRule="auto"/>
        <w:jc w:val="both"/>
        <w:rPr>
          <w:rFonts w:asciiTheme="minorHAnsi" w:hAnsiTheme="minorHAnsi" w:cs="Arial"/>
          <w:spacing w:val="-2"/>
          <w:sz w:val="22"/>
          <w:szCs w:val="22"/>
        </w:rPr>
      </w:pPr>
      <w:r w:rsidRPr="00803832">
        <w:rPr>
          <w:rFonts w:asciiTheme="minorHAnsi" w:hAnsiTheme="minorHAnsi" w:cs="Arial"/>
          <w:spacing w:val="-2"/>
          <w:sz w:val="22"/>
          <w:szCs w:val="22"/>
        </w:rPr>
        <w:t xml:space="preserve">les femmes diabétiques sans insulinothérapie </w:t>
      </w:r>
      <w:r w:rsidR="00A2376F">
        <w:rPr>
          <w:rFonts w:asciiTheme="minorHAnsi" w:hAnsiTheme="minorHAnsi" w:cs="Arial"/>
          <w:spacing w:val="-2"/>
          <w:sz w:val="22"/>
          <w:szCs w:val="22"/>
        </w:rPr>
        <w:t>qui ont un désir de grossesse (pendant maximum 1 an, sauf exceptions justifiées) ;</w:t>
      </w:r>
    </w:p>
    <w:p w:rsidR="00A2376F" w:rsidRPr="00A2376F" w:rsidRDefault="00A2376F" w:rsidP="00A2376F">
      <w:pPr>
        <w:pStyle w:val="ListParagraph"/>
        <w:rPr>
          <w:rFonts w:asciiTheme="minorHAnsi" w:hAnsiTheme="minorHAnsi" w:cs="Arial"/>
          <w:spacing w:val="-2"/>
          <w:sz w:val="22"/>
          <w:szCs w:val="22"/>
        </w:rPr>
      </w:pPr>
    </w:p>
    <w:p w:rsidR="00A2376F" w:rsidRDefault="00103B34" w:rsidP="00803832">
      <w:pPr>
        <w:pStyle w:val="ListParagraph"/>
        <w:numPr>
          <w:ilvl w:val="0"/>
          <w:numId w:val="6"/>
        </w:numPr>
        <w:tabs>
          <w:tab w:val="left" w:pos="-720"/>
        </w:tabs>
        <w:suppressAutoHyphens/>
        <w:spacing w:line="276" w:lineRule="auto"/>
        <w:jc w:val="both"/>
        <w:rPr>
          <w:rFonts w:asciiTheme="minorHAnsi" w:hAnsiTheme="minorHAnsi" w:cs="Arial"/>
          <w:spacing w:val="-2"/>
          <w:sz w:val="22"/>
          <w:szCs w:val="22"/>
        </w:rPr>
      </w:pPr>
      <w:r>
        <w:rPr>
          <w:rFonts w:asciiTheme="minorHAnsi" w:hAnsiTheme="minorHAnsi" w:cs="Arial"/>
          <w:spacing w:val="-2"/>
          <w:sz w:val="22"/>
          <w:szCs w:val="22"/>
        </w:rPr>
        <w:t>les patients</w:t>
      </w:r>
      <w:r w:rsidR="00A2376F">
        <w:rPr>
          <w:rFonts w:asciiTheme="minorHAnsi" w:hAnsiTheme="minorHAnsi" w:cs="Arial"/>
          <w:spacing w:val="-2"/>
          <w:sz w:val="22"/>
          <w:szCs w:val="22"/>
        </w:rPr>
        <w:t xml:space="preserve"> souffrant de pancréatites chroniques qui ne répondent pas aux conditions du groupe A.2. et</w:t>
      </w:r>
      <w:r w:rsidR="002E2445">
        <w:rPr>
          <w:rFonts w:asciiTheme="minorHAnsi" w:hAnsiTheme="minorHAnsi" w:cs="Arial"/>
          <w:spacing w:val="-2"/>
          <w:sz w:val="22"/>
          <w:szCs w:val="22"/>
        </w:rPr>
        <w:t xml:space="preserve"> qui sont traité</w:t>
      </w:r>
      <w:r w:rsidR="00A2376F">
        <w:rPr>
          <w:rFonts w:asciiTheme="minorHAnsi" w:hAnsiTheme="minorHAnsi" w:cs="Arial"/>
          <w:spacing w:val="-2"/>
          <w:sz w:val="22"/>
          <w:szCs w:val="22"/>
        </w:rPr>
        <w:t>s par insuline et/ou par d’autres antidiabétiques injectables ».</w:t>
      </w:r>
    </w:p>
    <w:p w:rsidR="00803832" w:rsidRPr="00803832" w:rsidRDefault="00803832" w:rsidP="00803832">
      <w:pPr>
        <w:pStyle w:val="ListParagraph"/>
        <w:rPr>
          <w:rFonts w:asciiTheme="minorHAnsi" w:hAnsiTheme="minorHAnsi" w:cs="Arial"/>
          <w:spacing w:val="-2"/>
          <w:sz w:val="22"/>
          <w:szCs w:val="22"/>
        </w:rPr>
      </w:pPr>
    </w:p>
    <w:p w:rsidR="007247C8" w:rsidRPr="00C879A1" w:rsidRDefault="007247C8" w:rsidP="007247C8">
      <w:pPr>
        <w:spacing w:line="276" w:lineRule="auto"/>
        <w:jc w:val="both"/>
        <w:rPr>
          <w:rFonts w:asciiTheme="minorHAnsi" w:hAnsiTheme="minorHAnsi" w:cs="Arial"/>
          <w:b/>
          <w:sz w:val="24"/>
          <w:szCs w:val="22"/>
          <w:u w:val="single"/>
          <w:lang w:val="fr-FR"/>
        </w:rPr>
      </w:pPr>
      <w:r w:rsidRPr="00C879A1">
        <w:rPr>
          <w:rFonts w:asciiTheme="minorHAnsi" w:hAnsiTheme="minorHAnsi" w:cs="Arial"/>
          <w:b/>
          <w:sz w:val="24"/>
          <w:szCs w:val="22"/>
          <w:u w:val="single"/>
          <w:lang w:val="fr-FR"/>
        </w:rPr>
        <w:t>Article 2.</w:t>
      </w:r>
    </w:p>
    <w:p w:rsidR="007247C8" w:rsidRDefault="007247C8" w:rsidP="002172F7">
      <w:pPr>
        <w:tabs>
          <w:tab w:val="left" w:pos="-720"/>
        </w:tabs>
        <w:suppressAutoHyphens/>
        <w:spacing w:line="276" w:lineRule="auto"/>
        <w:jc w:val="both"/>
        <w:rPr>
          <w:rFonts w:asciiTheme="minorHAnsi" w:hAnsiTheme="minorHAnsi" w:cs="Arial"/>
          <w:spacing w:val="-2"/>
          <w:sz w:val="22"/>
          <w:szCs w:val="22"/>
          <w:lang w:val="fr-FR"/>
        </w:rPr>
      </w:pPr>
    </w:p>
    <w:p w:rsidR="007247C8" w:rsidRDefault="007247C8" w:rsidP="002172F7">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xml:space="preserve">Les dispositions de </w:t>
      </w:r>
      <w:r w:rsidRPr="00AE6EE8">
        <w:rPr>
          <w:rFonts w:asciiTheme="minorHAnsi" w:hAnsiTheme="minorHAnsi" w:cs="Arial"/>
          <w:b/>
          <w:spacing w:val="-2"/>
          <w:sz w:val="22"/>
          <w:szCs w:val="22"/>
          <w:lang w:val="fr-FR"/>
        </w:rPr>
        <w:t xml:space="preserve">l’article </w:t>
      </w:r>
      <w:r w:rsidR="00AE5397">
        <w:rPr>
          <w:rFonts w:asciiTheme="minorHAnsi" w:hAnsiTheme="minorHAnsi" w:cs="Arial"/>
          <w:b/>
          <w:spacing w:val="-2"/>
          <w:sz w:val="22"/>
          <w:szCs w:val="22"/>
          <w:lang w:val="fr-FR"/>
        </w:rPr>
        <w:t>7, § 2, 2</w:t>
      </w:r>
      <w:r w:rsidR="00AE5397" w:rsidRPr="00AE5397">
        <w:rPr>
          <w:rFonts w:asciiTheme="minorHAnsi" w:hAnsiTheme="minorHAnsi" w:cs="Arial"/>
          <w:b/>
          <w:spacing w:val="-2"/>
          <w:sz w:val="22"/>
          <w:szCs w:val="22"/>
          <w:vertAlign w:val="superscript"/>
          <w:lang w:val="fr-FR"/>
        </w:rPr>
        <w:t>ième</w:t>
      </w:r>
      <w:r w:rsidR="00AE5397">
        <w:rPr>
          <w:rFonts w:asciiTheme="minorHAnsi" w:hAnsiTheme="minorHAnsi" w:cs="Arial"/>
          <w:b/>
          <w:spacing w:val="-2"/>
          <w:sz w:val="22"/>
          <w:szCs w:val="22"/>
          <w:lang w:val="fr-FR"/>
        </w:rPr>
        <w:t xml:space="preserve"> alinéa</w:t>
      </w:r>
      <w:r>
        <w:rPr>
          <w:rFonts w:asciiTheme="minorHAnsi" w:hAnsiTheme="minorHAnsi" w:cs="Arial"/>
          <w:spacing w:val="-2"/>
          <w:sz w:val="22"/>
          <w:szCs w:val="22"/>
          <w:lang w:val="fr-FR"/>
        </w:rPr>
        <w:t xml:space="preserve"> sont </w:t>
      </w:r>
      <w:r w:rsidR="00020305">
        <w:rPr>
          <w:rFonts w:asciiTheme="minorHAnsi" w:hAnsiTheme="minorHAnsi" w:cs="Arial"/>
          <w:spacing w:val="-2"/>
          <w:sz w:val="22"/>
          <w:szCs w:val="22"/>
          <w:lang w:val="fr-FR"/>
        </w:rPr>
        <w:t xml:space="preserve">supprimées et </w:t>
      </w:r>
      <w:r>
        <w:rPr>
          <w:rFonts w:asciiTheme="minorHAnsi" w:hAnsiTheme="minorHAnsi" w:cs="Arial"/>
          <w:spacing w:val="-2"/>
          <w:sz w:val="22"/>
          <w:szCs w:val="22"/>
          <w:lang w:val="fr-FR"/>
        </w:rPr>
        <w:t>remplacées par les dispositions suivantes :</w:t>
      </w:r>
    </w:p>
    <w:p w:rsidR="007247C8" w:rsidRDefault="007247C8" w:rsidP="002172F7">
      <w:pPr>
        <w:tabs>
          <w:tab w:val="left" w:pos="-720"/>
        </w:tabs>
        <w:suppressAutoHyphens/>
        <w:spacing w:line="276" w:lineRule="auto"/>
        <w:jc w:val="both"/>
        <w:rPr>
          <w:rFonts w:asciiTheme="minorHAnsi" w:hAnsiTheme="minorHAnsi" w:cs="Arial"/>
          <w:spacing w:val="-2"/>
          <w:sz w:val="22"/>
          <w:szCs w:val="22"/>
          <w:lang w:val="fr-FR"/>
        </w:rPr>
      </w:pPr>
    </w:p>
    <w:p w:rsidR="007247C8" w:rsidRPr="002172F7" w:rsidRDefault="007247C8" w:rsidP="00AE5397">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 </w:t>
      </w:r>
      <w:r w:rsidR="00AE5397" w:rsidRPr="00AE5397">
        <w:rPr>
          <w:rFonts w:asciiTheme="minorHAnsi" w:hAnsiTheme="minorHAnsi" w:cs="Arial"/>
          <w:spacing w:val="-2"/>
          <w:sz w:val="22"/>
          <w:szCs w:val="22"/>
          <w:lang w:val="fr-FR"/>
        </w:rPr>
        <w:t xml:space="preserve">L'établissement s'engage à fournir aux bénéficiaires du groupe A ou B qui déterminent leur glycémie via le test de piqûre au doigt tout le matériel nécessaire à l'exécution du nombre de mesures de glycémie qui lui est prescrit (après concertation avec lui) par l'endocrino-diabétologue (ou assimilé) de l'équipe de diabétologie multidisciplinaire. Il est parti du principe que les bénéficiaires des groupes A et B doivent exécuter en moyenne respectivement 140 et 120 mesures de la glycémie. Le nombre de mesures qui doit être exécuté par un bénéficiaire individuel diffère d'un bénéficiaire à l'autre et peut être plus élevé ou moins élevé que les nombres moyens mentionnés. Sans préjudice du fait que l'établissement doive fournir au bénéficiaire tout le matériel nécessaire à l'exécution du nombre de mesures de la glycémie prescrit, l'établissement s'engage à fournir – aux bénéficiaires des groupes A et B qui déterminent leur glycémie via le test de piqûre au doigt – 1 lancette pour chaque jour de la période pour laquelle le matériel est délivré et au moins 90 tigettes de glycémie sur une base mensuelle à l’exception des patients </w:t>
      </w:r>
      <w:r w:rsidR="00C879A1">
        <w:rPr>
          <w:rFonts w:asciiTheme="minorHAnsi" w:hAnsiTheme="minorHAnsi" w:cs="Arial"/>
          <w:spacing w:val="-2"/>
          <w:sz w:val="22"/>
          <w:szCs w:val="22"/>
          <w:lang w:val="fr-FR"/>
        </w:rPr>
        <w:t>du groupe</w:t>
      </w:r>
      <w:r w:rsidR="00AE5397">
        <w:rPr>
          <w:rFonts w:asciiTheme="minorHAnsi" w:hAnsiTheme="minorHAnsi" w:cs="Arial"/>
          <w:spacing w:val="-2"/>
          <w:sz w:val="22"/>
          <w:szCs w:val="22"/>
          <w:lang w:val="fr-FR"/>
        </w:rPr>
        <w:t xml:space="preserve"> A.1 qui se trouvent dans la </w:t>
      </w:r>
      <w:r w:rsidR="002E2445">
        <w:rPr>
          <w:rFonts w:asciiTheme="minorHAnsi" w:hAnsiTheme="minorHAnsi" w:cs="Arial"/>
          <w:spacing w:val="-2"/>
          <w:sz w:val="22"/>
          <w:szCs w:val="22"/>
          <w:lang w:val="fr-FR"/>
        </w:rPr>
        <w:t xml:space="preserve">« honey-moon fase » </w:t>
      </w:r>
      <w:r w:rsidR="00AE5397" w:rsidRPr="00AE5397">
        <w:rPr>
          <w:rFonts w:asciiTheme="minorHAnsi" w:hAnsiTheme="minorHAnsi" w:cs="Arial"/>
          <w:spacing w:val="-2"/>
          <w:sz w:val="22"/>
          <w:szCs w:val="22"/>
          <w:lang w:val="fr-FR"/>
        </w:rPr>
        <w:t>et</w:t>
      </w:r>
      <w:r w:rsidR="002E2445">
        <w:rPr>
          <w:rFonts w:asciiTheme="minorHAnsi" w:hAnsiTheme="minorHAnsi" w:cs="Arial"/>
          <w:spacing w:val="-2"/>
          <w:sz w:val="22"/>
          <w:szCs w:val="22"/>
          <w:lang w:val="fr-FR"/>
        </w:rPr>
        <w:t xml:space="preserve"> des patients</w:t>
      </w:r>
      <w:r w:rsidR="00C879A1">
        <w:rPr>
          <w:rFonts w:asciiTheme="minorHAnsi" w:hAnsiTheme="minorHAnsi" w:cs="Arial"/>
          <w:spacing w:val="-2"/>
          <w:sz w:val="22"/>
          <w:szCs w:val="22"/>
          <w:lang w:val="fr-FR"/>
        </w:rPr>
        <w:t xml:space="preserve"> du groupe</w:t>
      </w:r>
      <w:r w:rsidR="00AE5397" w:rsidRPr="00AE5397">
        <w:rPr>
          <w:rFonts w:asciiTheme="minorHAnsi" w:hAnsiTheme="minorHAnsi" w:cs="Arial"/>
          <w:spacing w:val="-2"/>
          <w:sz w:val="22"/>
          <w:szCs w:val="22"/>
          <w:lang w:val="fr-FR"/>
        </w:rPr>
        <w:t xml:space="preserve"> B</w:t>
      </w:r>
      <w:r w:rsidR="00C879A1">
        <w:rPr>
          <w:rFonts w:asciiTheme="minorHAnsi" w:hAnsiTheme="minorHAnsi" w:cs="Arial"/>
          <w:spacing w:val="-2"/>
          <w:sz w:val="22"/>
          <w:szCs w:val="22"/>
          <w:lang w:val="fr-FR"/>
        </w:rPr>
        <w:t>.</w:t>
      </w:r>
      <w:r w:rsidR="00AE5397" w:rsidRPr="00AE5397">
        <w:rPr>
          <w:rFonts w:asciiTheme="minorHAnsi" w:hAnsiTheme="minorHAnsi" w:cs="Arial"/>
          <w:spacing w:val="-2"/>
          <w:sz w:val="22"/>
          <w:szCs w:val="22"/>
          <w:lang w:val="fr-FR"/>
        </w:rPr>
        <w:t>2 (femmes qui présentent un diabète de grossesse traitées avec de l’insuline) pour lesquels moins de tigettes de glycémie peuvent être délivrées dans le cas où ces patients doivent effectuer moins de 90 mesures par mois.</w:t>
      </w:r>
      <w:r w:rsidR="00672A73">
        <w:rPr>
          <w:rFonts w:asciiTheme="minorHAnsi" w:hAnsiTheme="minorHAnsi" w:cs="Arial"/>
          <w:spacing w:val="-2"/>
          <w:sz w:val="22"/>
          <w:szCs w:val="22"/>
          <w:lang w:val="fr-FR"/>
        </w:rPr>
        <w:t> »</w:t>
      </w:r>
    </w:p>
    <w:p w:rsidR="009F6DF5" w:rsidRPr="002172F7" w:rsidRDefault="009F6DF5" w:rsidP="002172F7">
      <w:pPr>
        <w:spacing w:line="276" w:lineRule="auto"/>
        <w:jc w:val="both"/>
        <w:rPr>
          <w:rFonts w:asciiTheme="minorHAnsi" w:hAnsiTheme="minorHAnsi" w:cs="Arial"/>
          <w:sz w:val="22"/>
          <w:szCs w:val="22"/>
          <w:u w:val="single"/>
          <w:lang w:val="fr-FR"/>
        </w:rPr>
      </w:pPr>
    </w:p>
    <w:p w:rsidR="009F6DF5" w:rsidRPr="00C879A1" w:rsidRDefault="007247C8" w:rsidP="002172F7">
      <w:pPr>
        <w:spacing w:line="276" w:lineRule="auto"/>
        <w:jc w:val="both"/>
        <w:rPr>
          <w:rFonts w:asciiTheme="minorHAnsi" w:hAnsiTheme="minorHAnsi" w:cs="Arial"/>
          <w:b/>
          <w:sz w:val="24"/>
          <w:szCs w:val="22"/>
          <w:u w:val="single"/>
          <w:lang w:val="fr-FR"/>
        </w:rPr>
      </w:pPr>
      <w:r w:rsidRPr="00C879A1">
        <w:rPr>
          <w:rFonts w:asciiTheme="minorHAnsi" w:hAnsiTheme="minorHAnsi" w:cs="Arial"/>
          <w:b/>
          <w:sz w:val="24"/>
          <w:szCs w:val="22"/>
          <w:u w:val="single"/>
          <w:lang w:val="fr-FR"/>
        </w:rPr>
        <w:t>Article 3</w:t>
      </w:r>
      <w:r w:rsidR="009F6DF5" w:rsidRPr="00C879A1">
        <w:rPr>
          <w:rFonts w:asciiTheme="minorHAnsi" w:hAnsiTheme="minorHAnsi" w:cs="Arial"/>
          <w:b/>
          <w:sz w:val="24"/>
          <w:szCs w:val="22"/>
          <w:u w:val="single"/>
          <w:lang w:val="fr-FR"/>
        </w:rPr>
        <w:t>.</w:t>
      </w:r>
    </w:p>
    <w:p w:rsidR="00FB4527" w:rsidRPr="002172F7" w:rsidRDefault="00FB4527" w:rsidP="002172F7">
      <w:pPr>
        <w:spacing w:line="276" w:lineRule="auto"/>
        <w:jc w:val="both"/>
        <w:rPr>
          <w:rFonts w:asciiTheme="minorHAnsi" w:hAnsiTheme="minorHAnsi" w:cs="Arial"/>
          <w:sz w:val="22"/>
          <w:szCs w:val="22"/>
          <w:u w:val="single"/>
          <w:lang w:val="fr-FR"/>
        </w:rPr>
      </w:pPr>
    </w:p>
    <w:p w:rsidR="00FF779E" w:rsidRDefault="00C879A1" w:rsidP="00C879A1">
      <w:pPr>
        <w:tabs>
          <w:tab w:val="left" w:pos="-720"/>
        </w:tabs>
        <w:suppressAutoHyphens/>
        <w:spacing w:line="276" w:lineRule="auto"/>
        <w:jc w:val="both"/>
        <w:rPr>
          <w:rFonts w:asciiTheme="minorHAnsi" w:hAnsiTheme="minorHAnsi" w:cs="Arial"/>
          <w:spacing w:val="-2"/>
          <w:sz w:val="22"/>
          <w:szCs w:val="22"/>
          <w:lang w:val="fr-FR"/>
        </w:rPr>
      </w:pPr>
      <w:r w:rsidRPr="00C879A1">
        <w:rPr>
          <w:rFonts w:asciiTheme="minorHAnsi" w:hAnsiTheme="minorHAnsi" w:cs="Arial"/>
          <w:spacing w:val="-2"/>
          <w:sz w:val="22"/>
          <w:szCs w:val="22"/>
          <w:lang w:val="fr-FR"/>
        </w:rPr>
        <w:t>Les accords individuels</w:t>
      </w:r>
      <w:r w:rsidR="002E2445">
        <w:rPr>
          <w:rFonts w:asciiTheme="minorHAnsi" w:hAnsiTheme="minorHAnsi" w:cs="Arial"/>
          <w:spacing w:val="-2"/>
          <w:sz w:val="22"/>
          <w:szCs w:val="22"/>
          <w:lang w:val="fr-FR"/>
        </w:rPr>
        <w:t xml:space="preserve"> de prise </w:t>
      </w:r>
      <w:r>
        <w:rPr>
          <w:rFonts w:asciiTheme="minorHAnsi" w:hAnsiTheme="minorHAnsi" w:cs="Arial"/>
          <w:spacing w:val="-2"/>
          <w:sz w:val="22"/>
          <w:szCs w:val="22"/>
          <w:lang w:val="fr-FR"/>
        </w:rPr>
        <w:t>e</w:t>
      </w:r>
      <w:r w:rsidR="002E2445">
        <w:rPr>
          <w:rFonts w:asciiTheme="minorHAnsi" w:hAnsiTheme="minorHAnsi" w:cs="Arial"/>
          <w:spacing w:val="-2"/>
          <w:sz w:val="22"/>
          <w:szCs w:val="22"/>
          <w:lang w:val="fr-FR"/>
        </w:rPr>
        <w:t>n</w:t>
      </w:r>
      <w:r>
        <w:rPr>
          <w:rFonts w:asciiTheme="minorHAnsi" w:hAnsiTheme="minorHAnsi" w:cs="Arial"/>
          <w:spacing w:val="-2"/>
          <w:sz w:val="22"/>
          <w:szCs w:val="22"/>
          <w:lang w:val="fr-FR"/>
        </w:rPr>
        <w:t xml:space="preserve"> charge</w:t>
      </w:r>
      <w:r w:rsidRPr="00C879A1">
        <w:rPr>
          <w:rFonts w:asciiTheme="minorHAnsi" w:hAnsiTheme="minorHAnsi" w:cs="Arial"/>
          <w:spacing w:val="-2"/>
          <w:sz w:val="22"/>
          <w:szCs w:val="22"/>
          <w:lang w:val="fr-FR"/>
        </w:rPr>
        <w:t xml:space="preserve"> en cours</w:t>
      </w:r>
      <w:r w:rsidR="002E2445">
        <w:rPr>
          <w:rFonts w:asciiTheme="minorHAnsi" w:hAnsiTheme="minorHAnsi" w:cs="Arial"/>
          <w:spacing w:val="-2"/>
          <w:sz w:val="22"/>
          <w:szCs w:val="22"/>
          <w:lang w:val="fr-FR"/>
        </w:rPr>
        <w:t xml:space="preserve"> qui ont été</w:t>
      </w:r>
      <w:r w:rsidR="002F0BC1">
        <w:rPr>
          <w:rFonts w:asciiTheme="minorHAnsi" w:hAnsiTheme="minorHAnsi" w:cs="Arial"/>
          <w:spacing w:val="-2"/>
          <w:sz w:val="22"/>
          <w:szCs w:val="22"/>
          <w:lang w:val="fr-FR"/>
        </w:rPr>
        <w:t xml:space="preserve"> accordés avant l’entrée en vigueur du présent avenant, restent valables jusqu’à la date de fin normale de ces accords.</w:t>
      </w: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Les demandes de prise en charge que le médecin-conseil a reçu</w:t>
      </w:r>
      <w:r w:rsidR="002E2445">
        <w:rPr>
          <w:rFonts w:asciiTheme="minorHAnsi" w:hAnsiTheme="minorHAnsi" w:cs="Arial"/>
          <w:spacing w:val="-2"/>
          <w:sz w:val="22"/>
          <w:szCs w:val="22"/>
          <w:lang w:val="fr-FR"/>
        </w:rPr>
        <w:t>es</w:t>
      </w:r>
      <w:r>
        <w:rPr>
          <w:rFonts w:asciiTheme="minorHAnsi" w:hAnsiTheme="minorHAnsi" w:cs="Arial"/>
          <w:spacing w:val="-2"/>
          <w:sz w:val="22"/>
          <w:szCs w:val="22"/>
          <w:lang w:val="fr-FR"/>
        </w:rPr>
        <w:t xml:space="preserve"> au plus tard le 31 juillet 2018 peuvent encore être introduites au moyen des formulaires qui étaient d’application avant l’entrée en vigueur du présent avenant et ce, indépendamment du fait qu’il s’</w:t>
      </w:r>
      <w:r w:rsidR="00DE693E">
        <w:rPr>
          <w:rFonts w:asciiTheme="minorHAnsi" w:hAnsiTheme="minorHAnsi" w:cs="Arial"/>
          <w:spacing w:val="-2"/>
          <w:sz w:val="22"/>
          <w:szCs w:val="22"/>
          <w:lang w:val="fr-FR"/>
        </w:rPr>
        <w:t>agisse</w:t>
      </w:r>
      <w:r>
        <w:rPr>
          <w:rFonts w:asciiTheme="minorHAnsi" w:hAnsiTheme="minorHAnsi" w:cs="Arial"/>
          <w:spacing w:val="-2"/>
          <w:sz w:val="22"/>
          <w:szCs w:val="22"/>
          <w:lang w:val="fr-FR"/>
        </w:rPr>
        <w:t xml:space="preserve"> d’un nouveau bénéficiaire ou d’une prolongation d’une période de prise en charge existante.</w:t>
      </w: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p>
    <w:p w:rsidR="002F0BC1" w:rsidRDefault="002F0BC1" w:rsidP="00C879A1">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Les demandes de prise en charge pour une période qui débute au plus tôt le 1</w:t>
      </w:r>
      <w:r w:rsidRPr="002F0BC1">
        <w:rPr>
          <w:rFonts w:asciiTheme="minorHAnsi" w:hAnsiTheme="minorHAnsi" w:cs="Arial"/>
          <w:spacing w:val="-2"/>
          <w:sz w:val="22"/>
          <w:szCs w:val="22"/>
          <w:vertAlign w:val="superscript"/>
          <w:lang w:val="fr-FR"/>
        </w:rPr>
        <w:t>er</w:t>
      </w:r>
      <w:r w:rsidR="00DE693E">
        <w:rPr>
          <w:rFonts w:asciiTheme="minorHAnsi" w:hAnsiTheme="minorHAnsi" w:cs="Arial"/>
          <w:spacing w:val="-2"/>
          <w:sz w:val="22"/>
          <w:szCs w:val="22"/>
          <w:lang w:val="fr-FR"/>
        </w:rPr>
        <w:t xml:space="preserve"> jui</w:t>
      </w:r>
      <w:r>
        <w:rPr>
          <w:rFonts w:asciiTheme="minorHAnsi" w:hAnsiTheme="minorHAnsi" w:cs="Arial"/>
          <w:spacing w:val="-2"/>
          <w:sz w:val="22"/>
          <w:szCs w:val="22"/>
          <w:lang w:val="fr-FR"/>
        </w:rPr>
        <w:t xml:space="preserve">llet 2018 peuvent être introduites au moyen d’un formulaire qui figure comme annexe au présent avenant indépendamment du fait qu’il </w:t>
      </w:r>
      <w:r w:rsidR="00DE693E">
        <w:rPr>
          <w:rFonts w:asciiTheme="minorHAnsi" w:hAnsiTheme="minorHAnsi" w:cs="Arial"/>
          <w:spacing w:val="-2"/>
          <w:sz w:val="22"/>
          <w:szCs w:val="22"/>
          <w:lang w:val="fr-FR"/>
        </w:rPr>
        <w:t>s’agisse d’un nouveau bénéficiaire ou d’une prolongation d’une période de prise en charge existante.</w:t>
      </w:r>
    </w:p>
    <w:p w:rsidR="00DE693E" w:rsidRDefault="00DE693E" w:rsidP="00C879A1">
      <w:pPr>
        <w:tabs>
          <w:tab w:val="left" w:pos="-720"/>
        </w:tabs>
        <w:suppressAutoHyphens/>
        <w:spacing w:line="276" w:lineRule="auto"/>
        <w:jc w:val="both"/>
        <w:rPr>
          <w:rFonts w:asciiTheme="minorHAnsi" w:hAnsiTheme="minorHAnsi" w:cs="Arial"/>
          <w:spacing w:val="-2"/>
          <w:sz w:val="22"/>
          <w:szCs w:val="22"/>
          <w:lang w:val="fr-FR"/>
        </w:rPr>
      </w:pPr>
    </w:p>
    <w:p w:rsidR="00DE693E" w:rsidRDefault="00DE693E" w:rsidP="00C879A1">
      <w:pPr>
        <w:tabs>
          <w:tab w:val="left" w:pos="-720"/>
        </w:tabs>
        <w:suppressAutoHyphens/>
        <w:spacing w:line="276" w:lineRule="auto"/>
        <w:jc w:val="both"/>
        <w:rPr>
          <w:rFonts w:asciiTheme="minorHAnsi" w:hAnsiTheme="minorHAnsi" w:cs="Arial"/>
          <w:spacing w:val="-2"/>
          <w:sz w:val="22"/>
          <w:szCs w:val="22"/>
          <w:lang w:val="fr-FR"/>
        </w:rPr>
      </w:pPr>
      <w:r>
        <w:rPr>
          <w:rFonts w:asciiTheme="minorHAnsi" w:hAnsiTheme="minorHAnsi" w:cs="Arial"/>
          <w:spacing w:val="-2"/>
          <w:sz w:val="22"/>
          <w:szCs w:val="22"/>
          <w:lang w:val="fr-FR"/>
        </w:rPr>
        <w:t>Les demandes de prise en charge que le médecin-conseil reçoit à partir du 1</w:t>
      </w:r>
      <w:r w:rsidRPr="00DE693E">
        <w:rPr>
          <w:rFonts w:asciiTheme="minorHAnsi" w:hAnsiTheme="minorHAnsi" w:cs="Arial"/>
          <w:spacing w:val="-2"/>
          <w:sz w:val="22"/>
          <w:szCs w:val="22"/>
          <w:vertAlign w:val="superscript"/>
          <w:lang w:val="fr-FR"/>
        </w:rPr>
        <w:t>er</w:t>
      </w:r>
      <w:r>
        <w:rPr>
          <w:rFonts w:asciiTheme="minorHAnsi" w:hAnsiTheme="minorHAnsi" w:cs="Arial"/>
          <w:spacing w:val="-2"/>
          <w:sz w:val="22"/>
          <w:szCs w:val="22"/>
          <w:lang w:val="fr-FR"/>
        </w:rPr>
        <w:t xml:space="preserve"> août 2018, doivent dans tous les cas</w:t>
      </w:r>
      <w:r w:rsidR="002E2445">
        <w:rPr>
          <w:rFonts w:asciiTheme="minorHAnsi" w:hAnsiTheme="minorHAnsi" w:cs="Arial"/>
          <w:spacing w:val="-2"/>
          <w:sz w:val="22"/>
          <w:szCs w:val="22"/>
          <w:lang w:val="fr-FR"/>
        </w:rPr>
        <w:t>,</w:t>
      </w:r>
      <w:r>
        <w:rPr>
          <w:rFonts w:asciiTheme="minorHAnsi" w:hAnsiTheme="minorHAnsi" w:cs="Arial"/>
          <w:spacing w:val="-2"/>
          <w:sz w:val="22"/>
          <w:szCs w:val="22"/>
          <w:lang w:val="fr-FR"/>
        </w:rPr>
        <w:t xml:space="preserve"> être introduites au moyen d’un formulaire qui figure comme annexe au présent avenant  indépendamment du fait qu’il s’agisse d’un nouveau bénéficiaire ou d’une prolongation d’une période de prise en charge existante.</w:t>
      </w:r>
    </w:p>
    <w:p w:rsidR="00805D45" w:rsidRDefault="00805D45" w:rsidP="00C879A1">
      <w:pPr>
        <w:tabs>
          <w:tab w:val="left" w:pos="-720"/>
        </w:tabs>
        <w:suppressAutoHyphens/>
        <w:spacing w:line="276" w:lineRule="auto"/>
        <w:jc w:val="both"/>
        <w:rPr>
          <w:rFonts w:asciiTheme="minorHAnsi" w:hAnsiTheme="minorHAnsi" w:cs="Arial"/>
          <w:spacing w:val="-2"/>
          <w:sz w:val="22"/>
          <w:szCs w:val="22"/>
          <w:lang w:val="fr-FR"/>
        </w:rPr>
      </w:pPr>
    </w:p>
    <w:p w:rsidR="00805D45" w:rsidRPr="00805D45" w:rsidRDefault="00805D45" w:rsidP="00805D45">
      <w:pPr>
        <w:spacing w:line="276" w:lineRule="auto"/>
        <w:jc w:val="both"/>
        <w:rPr>
          <w:rFonts w:asciiTheme="minorHAnsi" w:hAnsiTheme="minorHAnsi" w:cs="Arial"/>
          <w:b/>
          <w:sz w:val="24"/>
          <w:szCs w:val="22"/>
          <w:u w:val="single"/>
          <w:lang w:val="fr-FR"/>
        </w:rPr>
      </w:pPr>
      <w:r w:rsidRPr="00805D45">
        <w:rPr>
          <w:rFonts w:asciiTheme="minorHAnsi" w:hAnsiTheme="minorHAnsi" w:cs="Arial"/>
          <w:b/>
          <w:sz w:val="24"/>
          <w:szCs w:val="22"/>
          <w:u w:val="single"/>
          <w:lang w:val="fr-FR"/>
        </w:rPr>
        <w:t>Article 4.</w:t>
      </w:r>
    </w:p>
    <w:p w:rsidR="00C879A1" w:rsidRDefault="00C879A1" w:rsidP="002172F7">
      <w:pPr>
        <w:spacing w:line="276" w:lineRule="auto"/>
        <w:jc w:val="both"/>
        <w:rPr>
          <w:rFonts w:asciiTheme="minorHAnsi" w:hAnsiTheme="minorHAnsi" w:cs="Arial"/>
          <w:sz w:val="22"/>
          <w:szCs w:val="22"/>
          <w:u w:val="single"/>
          <w:lang w:val="fr-FR"/>
        </w:rPr>
      </w:pPr>
    </w:p>
    <w:p w:rsidR="00805D45" w:rsidRDefault="00806143" w:rsidP="002172F7">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Les dispositions de </w:t>
      </w:r>
      <w:r w:rsidRPr="002E2445">
        <w:rPr>
          <w:rFonts w:asciiTheme="minorHAnsi" w:hAnsiTheme="minorHAnsi" w:cs="Arial"/>
          <w:b/>
          <w:sz w:val="22"/>
          <w:szCs w:val="22"/>
          <w:lang w:val="fr-FR"/>
        </w:rPr>
        <w:t>l’article 36, § 2</w:t>
      </w:r>
      <w:r>
        <w:rPr>
          <w:rFonts w:asciiTheme="minorHAnsi" w:hAnsiTheme="minorHAnsi" w:cs="Arial"/>
          <w:sz w:val="22"/>
          <w:szCs w:val="22"/>
          <w:lang w:val="fr-FR"/>
        </w:rPr>
        <w:t xml:space="preserve"> sont supprimées et remplacées par les dispositions suivantes :</w:t>
      </w:r>
    </w:p>
    <w:p w:rsidR="00806143" w:rsidRDefault="00806143" w:rsidP="002172F7">
      <w:pPr>
        <w:spacing w:line="276" w:lineRule="auto"/>
        <w:jc w:val="both"/>
        <w:rPr>
          <w:rFonts w:asciiTheme="minorHAnsi" w:hAnsiTheme="minorHAnsi" w:cs="Arial"/>
          <w:sz w:val="22"/>
          <w:szCs w:val="22"/>
          <w:lang w:val="fr-FR"/>
        </w:rPr>
      </w:pPr>
    </w:p>
    <w:p w:rsidR="00806143" w:rsidRDefault="00806143" w:rsidP="00806143">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 § 2. </w:t>
      </w:r>
      <w:r w:rsidRPr="00806143">
        <w:rPr>
          <w:rFonts w:asciiTheme="minorHAnsi" w:hAnsiTheme="minorHAnsi" w:cs="Arial"/>
          <w:sz w:val="22"/>
          <w:szCs w:val="22"/>
          <w:lang w:val="fr-FR"/>
        </w:rPr>
        <w:t>La présente convention est valable jusqu’au 30 juin 20</w:t>
      </w:r>
      <w:r>
        <w:rPr>
          <w:rFonts w:asciiTheme="minorHAnsi" w:hAnsiTheme="minorHAnsi" w:cs="Arial"/>
          <w:sz w:val="22"/>
          <w:szCs w:val="22"/>
          <w:lang w:val="fr-FR"/>
        </w:rPr>
        <w:t>20</w:t>
      </w:r>
      <w:r w:rsidRPr="00806143">
        <w:rPr>
          <w:rFonts w:asciiTheme="minorHAnsi" w:hAnsiTheme="minorHAnsi" w:cs="Arial"/>
          <w:sz w:val="22"/>
          <w:szCs w:val="22"/>
          <w:lang w:val="fr-FR"/>
        </w:rPr>
        <w:t xml:space="preserve"> inclus. Toutefois, elle peut toujours être dénoncée avant cette date par une des deux parties, quel que soit le motif (donc également pour des motifs qui ne sont pas mentionnés explicitement dans le texte de la convention), par une lettre recommandée à la poste qui est adressée à l’autre partie, moyennant le respect d’un préavis de 3 mois prenant cours le premier jour du mois qui suit la date d’envoi de la lettre recommandée.</w:t>
      </w:r>
      <w:r>
        <w:rPr>
          <w:rFonts w:asciiTheme="minorHAnsi" w:hAnsiTheme="minorHAnsi" w:cs="Arial"/>
          <w:sz w:val="22"/>
          <w:szCs w:val="22"/>
          <w:lang w:val="fr-FR"/>
        </w:rPr>
        <w:t> »</w:t>
      </w:r>
    </w:p>
    <w:p w:rsidR="002E2445" w:rsidRPr="00806143" w:rsidRDefault="002E2445" w:rsidP="00806143">
      <w:pPr>
        <w:spacing w:line="276" w:lineRule="auto"/>
        <w:jc w:val="both"/>
        <w:rPr>
          <w:rFonts w:asciiTheme="minorHAnsi" w:hAnsiTheme="minorHAnsi" w:cs="Arial"/>
          <w:sz w:val="22"/>
          <w:szCs w:val="22"/>
          <w:lang w:val="fr-FR"/>
        </w:rPr>
      </w:pPr>
    </w:p>
    <w:p w:rsidR="008F1319" w:rsidRPr="008900BB" w:rsidRDefault="00806143" w:rsidP="002172F7">
      <w:pPr>
        <w:spacing w:line="276" w:lineRule="auto"/>
        <w:jc w:val="both"/>
        <w:rPr>
          <w:rFonts w:asciiTheme="minorHAnsi" w:hAnsiTheme="minorHAnsi" w:cs="Arial"/>
          <w:b/>
          <w:sz w:val="24"/>
          <w:szCs w:val="22"/>
          <w:u w:val="single"/>
          <w:lang w:val="fr-FR"/>
        </w:rPr>
      </w:pPr>
      <w:r w:rsidRPr="008900BB">
        <w:rPr>
          <w:rFonts w:asciiTheme="minorHAnsi" w:hAnsiTheme="minorHAnsi" w:cs="Arial"/>
          <w:b/>
          <w:sz w:val="24"/>
          <w:szCs w:val="22"/>
          <w:u w:val="single"/>
          <w:lang w:val="fr-FR"/>
        </w:rPr>
        <w:t xml:space="preserve"> </w:t>
      </w:r>
      <w:r w:rsidR="008F1319" w:rsidRPr="008900BB">
        <w:rPr>
          <w:rFonts w:asciiTheme="minorHAnsi" w:hAnsiTheme="minorHAnsi" w:cs="Arial"/>
          <w:b/>
          <w:sz w:val="24"/>
          <w:szCs w:val="22"/>
          <w:u w:val="single"/>
          <w:lang w:val="fr-FR"/>
        </w:rPr>
        <w:t>Article</w:t>
      </w:r>
      <w:r w:rsidR="00FF779E" w:rsidRPr="008900BB">
        <w:rPr>
          <w:rFonts w:asciiTheme="minorHAnsi" w:hAnsiTheme="minorHAnsi" w:cs="Arial"/>
          <w:b/>
          <w:sz w:val="24"/>
          <w:szCs w:val="22"/>
          <w:u w:val="single"/>
          <w:lang w:val="fr-FR"/>
        </w:rPr>
        <w:t xml:space="preserve"> </w:t>
      </w:r>
      <w:r w:rsidR="007247C8" w:rsidRPr="008900BB">
        <w:rPr>
          <w:rFonts w:asciiTheme="minorHAnsi" w:hAnsiTheme="minorHAnsi" w:cs="Arial"/>
          <w:b/>
          <w:sz w:val="24"/>
          <w:szCs w:val="22"/>
          <w:u w:val="single"/>
          <w:lang w:val="fr-FR"/>
        </w:rPr>
        <w:t>5</w:t>
      </w:r>
      <w:r w:rsidR="008F1319" w:rsidRPr="008900BB">
        <w:rPr>
          <w:rFonts w:asciiTheme="minorHAnsi" w:hAnsiTheme="minorHAnsi" w:cs="Arial"/>
          <w:b/>
          <w:sz w:val="24"/>
          <w:szCs w:val="22"/>
          <w:u w:val="single"/>
          <w:lang w:val="fr-FR"/>
        </w:rPr>
        <w:t>.</w:t>
      </w:r>
    </w:p>
    <w:p w:rsidR="008F1319" w:rsidRPr="008900BB" w:rsidRDefault="008F1319" w:rsidP="002172F7">
      <w:pPr>
        <w:spacing w:line="276" w:lineRule="auto"/>
        <w:jc w:val="both"/>
        <w:rPr>
          <w:rFonts w:asciiTheme="minorHAnsi" w:hAnsiTheme="minorHAnsi" w:cs="Arial"/>
          <w:sz w:val="22"/>
          <w:szCs w:val="22"/>
          <w:u w:val="single"/>
          <w:lang w:val="fr-FR"/>
        </w:rPr>
      </w:pPr>
    </w:p>
    <w:p w:rsidR="008900BB" w:rsidRPr="008900BB" w:rsidRDefault="008900BB" w:rsidP="002172F7">
      <w:pPr>
        <w:spacing w:line="276" w:lineRule="auto"/>
        <w:jc w:val="both"/>
        <w:rPr>
          <w:rFonts w:asciiTheme="minorHAnsi" w:hAnsiTheme="minorHAnsi" w:cs="Arial"/>
          <w:sz w:val="22"/>
          <w:szCs w:val="22"/>
          <w:lang w:val="fr-FR"/>
        </w:rPr>
      </w:pPr>
      <w:r w:rsidRPr="002E2445">
        <w:rPr>
          <w:rFonts w:asciiTheme="minorHAnsi" w:hAnsiTheme="minorHAnsi" w:cs="Arial"/>
          <w:b/>
          <w:sz w:val="22"/>
          <w:szCs w:val="22"/>
          <w:lang w:val="fr-FR"/>
        </w:rPr>
        <w:t>Les annexes 1 et 2</w:t>
      </w:r>
      <w:r w:rsidRPr="008900BB">
        <w:rPr>
          <w:rFonts w:asciiTheme="minorHAnsi" w:hAnsiTheme="minorHAnsi" w:cs="Arial"/>
          <w:sz w:val="22"/>
          <w:szCs w:val="22"/>
          <w:lang w:val="fr-FR"/>
        </w:rPr>
        <w:t xml:space="preserve"> de la convention entrée en vigueur le 1 juillet 2016 sont remplacées par les annexes 1 et 2 du présent avenant :</w:t>
      </w:r>
    </w:p>
    <w:p w:rsidR="008900BB" w:rsidRDefault="008900BB" w:rsidP="002172F7">
      <w:pPr>
        <w:spacing w:line="276" w:lineRule="auto"/>
        <w:jc w:val="both"/>
        <w:rPr>
          <w:rFonts w:asciiTheme="minorHAnsi" w:hAnsiTheme="minorHAnsi" w:cs="Arial"/>
          <w:sz w:val="22"/>
          <w:szCs w:val="22"/>
          <w:u w:val="single"/>
          <w:lang w:val="fr-FR"/>
        </w:rPr>
      </w:pPr>
    </w:p>
    <w:p w:rsidR="008900BB" w:rsidRDefault="008900BB" w:rsidP="008900BB">
      <w:pPr>
        <w:pStyle w:val="ListParagraph"/>
        <w:numPr>
          <w:ilvl w:val="0"/>
          <w:numId w:val="6"/>
        </w:numPr>
        <w:spacing w:line="276" w:lineRule="auto"/>
        <w:jc w:val="both"/>
        <w:rPr>
          <w:rFonts w:asciiTheme="minorHAnsi" w:hAnsiTheme="minorHAnsi" w:cs="Arial"/>
          <w:sz w:val="22"/>
          <w:szCs w:val="22"/>
        </w:rPr>
      </w:pPr>
      <w:r w:rsidRPr="008900BB">
        <w:rPr>
          <w:rFonts w:asciiTheme="minorHAnsi" w:hAnsiTheme="minorHAnsi" w:cs="Arial"/>
          <w:sz w:val="22"/>
          <w:szCs w:val="22"/>
        </w:rPr>
        <w:t>« Annexe 1 : Formulaire pour l’introduction des demandes individuelles de prise en charge pour les patients qui disposent d’un DMG et pour lesquels le médecin généraliste ne peut pas porter en compte la prestation DMG.</w:t>
      </w:r>
    </w:p>
    <w:p w:rsidR="008900BB" w:rsidRDefault="008900BB" w:rsidP="008900BB">
      <w:pPr>
        <w:pStyle w:val="ListParagraph"/>
        <w:numPr>
          <w:ilvl w:val="0"/>
          <w:numId w:val="6"/>
        </w:numPr>
        <w:spacing w:line="276" w:lineRule="auto"/>
        <w:jc w:val="both"/>
        <w:rPr>
          <w:rFonts w:asciiTheme="minorHAnsi" w:hAnsiTheme="minorHAnsi" w:cs="Arial"/>
          <w:sz w:val="22"/>
          <w:szCs w:val="22"/>
        </w:rPr>
      </w:pPr>
      <w:r>
        <w:rPr>
          <w:rFonts w:asciiTheme="minorHAnsi" w:hAnsiTheme="minorHAnsi" w:cs="Arial"/>
          <w:sz w:val="22"/>
          <w:szCs w:val="22"/>
        </w:rPr>
        <w:t>Annexe 2 : Formulaire pour l’introduction des demandes individuelles pour une prise en charge de courte durée (pendant 6 mois) des patients qui ne disposent pas encore de DMG. »</w:t>
      </w:r>
    </w:p>
    <w:p w:rsidR="008900BB" w:rsidRPr="00747C99" w:rsidRDefault="008900BB" w:rsidP="008900BB">
      <w:pPr>
        <w:spacing w:line="276" w:lineRule="auto"/>
        <w:jc w:val="both"/>
        <w:rPr>
          <w:rFonts w:asciiTheme="minorHAnsi" w:hAnsiTheme="minorHAnsi" w:cs="Arial"/>
          <w:sz w:val="22"/>
          <w:szCs w:val="22"/>
          <w:lang w:val="fr-BE"/>
        </w:rPr>
      </w:pPr>
    </w:p>
    <w:p w:rsidR="008900BB" w:rsidRPr="008900BB" w:rsidRDefault="008900BB" w:rsidP="008900BB">
      <w:pPr>
        <w:spacing w:line="276" w:lineRule="auto"/>
        <w:jc w:val="both"/>
        <w:rPr>
          <w:rFonts w:asciiTheme="minorHAnsi" w:hAnsiTheme="minorHAnsi" w:cs="Arial"/>
          <w:b/>
          <w:sz w:val="24"/>
          <w:szCs w:val="22"/>
          <w:u w:val="single"/>
          <w:lang w:val="fr-FR"/>
        </w:rPr>
      </w:pPr>
      <w:r w:rsidRPr="008900BB">
        <w:rPr>
          <w:rFonts w:asciiTheme="minorHAnsi" w:hAnsiTheme="minorHAnsi" w:cs="Arial"/>
          <w:b/>
          <w:sz w:val="24"/>
          <w:szCs w:val="22"/>
          <w:u w:val="single"/>
          <w:lang w:val="fr-FR"/>
        </w:rPr>
        <w:t>Article 6.</w:t>
      </w:r>
    </w:p>
    <w:p w:rsidR="008900BB" w:rsidRPr="00747C99" w:rsidRDefault="008900BB" w:rsidP="008900BB">
      <w:pPr>
        <w:spacing w:line="276" w:lineRule="auto"/>
        <w:jc w:val="both"/>
        <w:rPr>
          <w:rFonts w:asciiTheme="minorHAnsi" w:hAnsiTheme="minorHAnsi" w:cs="Arial"/>
          <w:sz w:val="22"/>
          <w:szCs w:val="22"/>
          <w:lang w:val="fr-BE"/>
        </w:rPr>
      </w:pPr>
    </w:p>
    <w:p w:rsidR="008F1319" w:rsidRDefault="008900BB" w:rsidP="008900BB">
      <w:pPr>
        <w:spacing w:line="276" w:lineRule="auto"/>
        <w:jc w:val="both"/>
        <w:rPr>
          <w:rFonts w:asciiTheme="minorHAnsi" w:hAnsiTheme="minorHAnsi" w:cs="Arial"/>
          <w:spacing w:val="-2"/>
          <w:sz w:val="22"/>
          <w:szCs w:val="22"/>
          <w:lang w:val="fr-FR"/>
        </w:rPr>
      </w:pPr>
      <w:r w:rsidRPr="008900BB">
        <w:rPr>
          <w:rFonts w:asciiTheme="minorHAnsi" w:hAnsiTheme="minorHAnsi" w:cs="Arial"/>
          <w:sz w:val="22"/>
          <w:szCs w:val="22"/>
          <w:lang w:val="fr-BE"/>
        </w:rPr>
        <w:t xml:space="preserve">§ 1er. </w:t>
      </w:r>
      <w:r w:rsidR="008F1319" w:rsidRPr="002172F7">
        <w:rPr>
          <w:rFonts w:asciiTheme="minorHAnsi" w:hAnsiTheme="minorHAnsi" w:cs="Arial"/>
          <w:spacing w:val="-2"/>
          <w:sz w:val="22"/>
          <w:szCs w:val="22"/>
          <w:lang w:val="fr-FR"/>
        </w:rPr>
        <w:t>Le présent avenant fait partie intégrante de la convention signée le ## entre le Comité de l’assurance soins de santé et ##.</w:t>
      </w:r>
    </w:p>
    <w:p w:rsidR="008900BB" w:rsidRPr="002172F7" w:rsidRDefault="008900BB" w:rsidP="008900BB">
      <w:pPr>
        <w:spacing w:line="276" w:lineRule="auto"/>
        <w:jc w:val="both"/>
        <w:rPr>
          <w:rFonts w:asciiTheme="minorHAnsi" w:hAnsiTheme="minorHAnsi" w:cs="Arial"/>
          <w:spacing w:val="-2"/>
          <w:sz w:val="22"/>
          <w:szCs w:val="22"/>
          <w:lang w:val="fr-FR"/>
        </w:rPr>
      </w:pPr>
    </w:p>
    <w:p w:rsidR="008F1319" w:rsidRPr="002172F7" w:rsidRDefault="008F1319" w:rsidP="002172F7">
      <w:pPr>
        <w:tabs>
          <w:tab w:val="left" w:pos="-720"/>
        </w:tabs>
        <w:suppressAutoHyphens/>
        <w:spacing w:after="200" w:line="276" w:lineRule="auto"/>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 2. Le présent avenant, fait en deux exemplaires dûment signés par les deux parties, produit ses effets le 1</w:t>
      </w:r>
      <w:r w:rsidRPr="002172F7">
        <w:rPr>
          <w:rFonts w:asciiTheme="minorHAnsi" w:hAnsiTheme="minorHAnsi" w:cs="Arial"/>
          <w:spacing w:val="-2"/>
          <w:sz w:val="22"/>
          <w:szCs w:val="22"/>
          <w:vertAlign w:val="superscript"/>
          <w:lang w:val="fr-FR"/>
        </w:rPr>
        <w:t>er</w:t>
      </w:r>
      <w:r w:rsidRPr="002172F7">
        <w:rPr>
          <w:rFonts w:asciiTheme="minorHAnsi" w:hAnsiTheme="minorHAnsi" w:cs="Arial"/>
          <w:spacing w:val="-2"/>
          <w:sz w:val="22"/>
          <w:szCs w:val="22"/>
          <w:lang w:val="fr-FR"/>
        </w:rPr>
        <w:t xml:space="preserve"> juillet 201</w:t>
      </w:r>
      <w:r w:rsidR="008900BB">
        <w:rPr>
          <w:rFonts w:asciiTheme="minorHAnsi" w:hAnsiTheme="minorHAnsi" w:cs="Arial"/>
          <w:spacing w:val="-2"/>
          <w:sz w:val="22"/>
          <w:szCs w:val="22"/>
          <w:lang w:val="fr-FR"/>
        </w:rPr>
        <w:t>8</w:t>
      </w:r>
      <w:r w:rsidRPr="002172F7">
        <w:rPr>
          <w:rFonts w:asciiTheme="minorHAnsi" w:hAnsiTheme="minorHAnsi" w:cs="Arial"/>
          <w:spacing w:val="-2"/>
          <w:sz w:val="22"/>
          <w:szCs w:val="22"/>
          <w:lang w:val="fr-FR"/>
        </w:rPr>
        <w:t>.</w:t>
      </w:r>
    </w:p>
    <w:p w:rsidR="008F1319" w:rsidRPr="002172F7" w:rsidRDefault="008F1319" w:rsidP="002172F7">
      <w:pPr>
        <w:tabs>
          <w:tab w:val="left" w:pos="-720"/>
        </w:tabs>
        <w:suppressAutoHyphens/>
        <w:spacing w:after="200"/>
        <w:jc w:val="both"/>
        <w:rPr>
          <w:rFonts w:asciiTheme="minorHAnsi" w:hAnsiTheme="minorHAnsi" w:cs="Arial"/>
          <w:spacing w:val="-2"/>
          <w:sz w:val="22"/>
          <w:szCs w:val="22"/>
          <w:lang w:val="fr-FR"/>
        </w:rPr>
      </w:pPr>
    </w:p>
    <w:tbl>
      <w:tblPr>
        <w:tblW w:w="8640" w:type="dxa"/>
        <w:tblInd w:w="282" w:type="dxa"/>
        <w:tblLayout w:type="fixed"/>
        <w:tblCellMar>
          <w:left w:w="282" w:type="dxa"/>
          <w:right w:w="282" w:type="dxa"/>
        </w:tblCellMar>
        <w:tblLook w:val="04A0" w:firstRow="1" w:lastRow="0" w:firstColumn="1" w:lastColumn="0" w:noHBand="0" w:noVBand="1"/>
      </w:tblPr>
      <w:tblGrid>
        <w:gridCol w:w="4391"/>
        <w:gridCol w:w="4249"/>
      </w:tblGrid>
      <w:tr w:rsidR="008F1319" w:rsidRPr="00922D72" w:rsidTr="008F1319">
        <w:tc>
          <w:tcPr>
            <w:tcW w:w="4395" w:type="dxa"/>
          </w:tcPr>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BE"/>
              </w:rPr>
            </w:pPr>
            <w:r w:rsidRPr="002172F7">
              <w:rPr>
                <w:rFonts w:asciiTheme="minorHAnsi" w:hAnsiTheme="minorHAnsi" w:cs="Arial"/>
                <w:spacing w:val="-2"/>
                <w:sz w:val="22"/>
                <w:szCs w:val="22"/>
                <w:lang w:val="fr-BE"/>
              </w:rPr>
              <w:br w:type="page"/>
              <w:t xml:space="preserve">Pour </w:t>
            </w:r>
            <w:r w:rsidRPr="002172F7">
              <w:rPr>
                <w:rFonts w:asciiTheme="minorHAnsi" w:hAnsiTheme="minorHAnsi" w:cs="Arial"/>
                <w:spacing w:val="-2"/>
                <w:sz w:val="22"/>
                <w:szCs w:val="22"/>
                <w:lang w:val="fr-FR"/>
              </w:rPr>
              <w:t>##</w:t>
            </w:r>
            <w:r w:rsidRPr="002172F7">
              <w:rPr>
                <w:rFonts w:asciiTheme="minorHAnsi" w:hAnsiTheme="minorHAnsi" w:cs="Arial"/>
                <w:spacing w:val="-2"/>
                <w:sz w:val="22"/>
                <w:szCs w:val="22"/>
                <w:lang w:val="fr-BE"/>
              </w:rPr>
              <w:t xml:space="preserve"> dont dépend le service de diabétologie ##,</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(date et signature)</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Le mandataire du pouvoir organisateur,</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Le Médecin en chef,</w:t>
            </w:r>
          </w:p>
          <w:p w:rsidR="008F1319" w:rsidRPr="002172F7" w:rsidRDefault="008F1319" w:rsidP="002172F7">
            <w:pPr>
              <w:tabs>
                <w:tab w:val="left" w:pos="-282"/>
                <w:tab w:val="left" w:pos="153"/>
                <w:tab w:val="left" w:pos="873"/>
                <w:tab w:val="left" w:pos="1593"/>
                <w:tab w:val="left" w:pos="2313"/>
                <w:tab w:val="left" w:pos="3033"/>
                <w:tab w:val="left" w:pos="3753"/>
                <w:tab w:val="left" w:pos="4473"/>
                <w:tab w:val="left" w:pos="5193"/>
              </w:tabs>
              <w:suppressAutoHyphens/>
              <w:spacing w:line="276" w:lineRule="auto"/>
              <w:ind w:left="-282"/>
              <w:jc w:val="both"/>
              <w:rPr>
                <w:rFonts w:asciiTheme="minorHAnsi" w:hAnsiTheme="minorHAnsi" w:cs="Arial"/>
                <w:spacing w:val="-2"/>
                <w:sz w:val="22"/>
                <w:szCs w:val="22"/>
                <w:lang w:val="fr-FR"/>
              </w:rPr>
            </w:pPr>
          </w:p>
        </w:tc>
        <w:tc>
          <w:tcPr>
            <w:tcW w:w="4252" w:type="dxa"/>
          </w:tcPr>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Pour le Comité de l’assurance soins de santé de l’I.N.A.M.I.,</w:t>
            </w: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ind w:left="-282"/>
              <w:jc w:val="both"/>
              <w:rPr>
                <w:rFonts w:asciiTheme="minorHAnsi" w:hAnsiTheme="minorHAnsi" w:cs="Arial"/>
                <w:spacing w:val="-2"/>
                <w:sz w:val="22"/>
                <w:szCs w:val="22"/>
                <w:lang w:val="fr-FR"/>
              </w:rPr>
            </w:pPr>
          </w:p>
          <w:p w:rsidR="00582BC5" w:rsidRDefault="00582BC5"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p>
          <w:p w:rsidR="00582BC5" w:rsidRDefault="00582BC5"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Bruxelles, le</w:t>
            </w: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jc w:val="both"/>
              <w:rPr>
                <w:rFonts w:asciiTheme="minorHAnsi" w:hAnsiTheme="minorHAnsi" w:cs="Arial"/>
                <w:spacing w:val="-2"/>
                <w:sz w:val="22"/>
                <w:szCs w:val="22"/>
                <w:lang w:val="fr-FR"/>
              </w:rPr>
            </w:pPr>
          </w:p>
          <w:p w:rsidR="008F1319" w:rsidRPr="002172F7" w:rsidRDefault="008F1319"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Le Fonctionnaire dirigeant,</w:t>
            </w:r>
          </w:p>
          <w:p w:rsidR="00582BC5" w:rsidRPr="002172F7" w:rsidRDefault="00582BC5"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after="200" w:line="276" w:lineRule="auto"/>
              <w:ind w:left="-282"/>
              <w:jc w:val="both"/>
              <w:rPr>
                <w:rFonts w:asciiTheme="minorHAnsi" w:hAnsiTheme="minorHAnsi" w:cs="Arial"/>
                <w:spacing w:val="-2"/>
                <w:sz w:val="22"/>
                <w:szCs w:val="22"/>
                <w:lang w:val="fr-FR"/>
              </w:rPr>
            </w:pPr>
          </w:p>
          <w:p w:rsidR="008F1319" w:rsidRPr="002172F7" w:rsidRDefault="008900BB" w:rsidP="002172F7">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Pr>
                <w:rFonts w:asciiTheme="minorHAnsi" w:hAnsiTheme="minorHAnsi" w:cs="Arial"/>
                <w:spacing w:val="-2"/>
                <w:sz w:val="22"/>
                <w:szCs w:val="22"/>
                <w:lang w:val="fr-FR"/>
              </w:rPr>
              <w:t>Alain Ghilain</w:t>
            </w:r>
            <w:r w:rsidR="008F1319" w:rsidRPr="002172F7">
              <w:rPr>
                <w:rFonts w:asciiTheme="minorHAnsi" w:hAnsiTheme="minorHAnsi" w:cs="Arial"/>
                <w:spacing w:val="-2"/>
                <w:sz w:val="22"/>
                <w:szCs w:val="22"/>
                <w:lang w:val="fr-FR"/>
              </w:rPr>
              <w:t>,</w:t>
            </w:r>
          </w:p>
          <w:p w:rsidR="008F1319" w:rsidRPr="002172F7" w:rsidRDefault="008F1319" w:rsidP="008900BB">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spacing w:line="276" w:lineRule="auto"/>
              <w:ind w:left="-282"/>
              <w:jc w:val="both"/>
              <w:rPr>
                <w:rFonts w:asciiTheme="minorHAnsi" w:hAnsiTheme="minorHAnsi" w:cs="Arial"/>
                <w:spacing w:val="-2"/>
                <w:sz w:val="22"/>
                <w:szCs w:val="22"/>
                <w:lang w:val="fr-FR"/>
              </w:rPr>
            </w:pPr>
            <w:r w:rsidRPr="002172F7">
              <w:rPr>
                <w:rFonts w:asciiTheme="minorHAnsi" w:hAnsiTheme="minorHAnsi" w:cs="Arial"/>
                <w:spacing w:val="-2"/>
                <w:sz w:val="22"/>
                <w:szCs w:val="22"/>
                <w:lang w:val="fr-FR"/>
              </w:rPr>
              <w:t>Directeur général</w:t>
            </w:r>
            <w:r w:rsidR="008900BB">
              <w:rPr>
                <w:rFonts w:asciiTheme="minorHAnsi" w:hAnsiTheme="minorHAnsi" w:cs="Arial"/>
                <w:spacing w:val="-2"/>
                <w:sz w:val="22"/>
                <w:szCs w:val="22"/>
                <w:lang w:val="fr-FR"/>
              </w:rPr>
              <w:t xml:space="preserve"> a.i.</w:t>
            </w:r>
          </w:p>
        </w:tc>
      </w:tr>
    </w:tbl>
    <w:p w:rsidR="00A8483E" w:rsidRDefault="00A8483E">
      <w:pPr>
        <w:ind w:right="-108"/>
        <w:rPr>
          <w:rFonts w:asciiTheme="minorHAnsi" w:hAnsiTheme="minorHAnsi" w:cs="Arial"/>
          <w:b/>
          <w:snapToGrid w:val="0"/>
          <w:spacing w:val="-2"/>
          <w:sz w:val="22"/>
          <w:szCs w:val="22"/>
          <w:u w:val="single"/>
          <w:lang w:val="fr-FR"/>
        </w:rPr>
      </w:pPr>
    </w:p>
    <w:sectPr w:rsidR="00A8483E" w:rsidSect="0071617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BB" w:rsidRDefault="00C518BB" w:rsidP="002172F7">
      <w:r>
        <w:separator/>
      </w:r>
    </w:p>
  </w:endnote>
  <w:endnote w:type="continuationSeparator" w:id="0">
    <w:p w:rsidR="00C518BB" w:rsidRDefault="00C518BB" w:rsidP="0021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BB" w:rsidRDefault="00C518BB" w:rsidP="002172F7">
      <w:r>
        <w:separator/>
      </w:r>
    </w:p>
  </w:footnote>
  <w:footnote w:type="continuationSeparator" w:id="0">
    <w:p w:rsidR="00C518BB" w:rsidRDefault="00C518BB" w:rsidP="00217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A79"/>
    <w:multiLevelType w:val="hybridMultilevel"/>
    <w:tmpl w:val="21066586"/>
    <w:lvl w:ilvl="0" w:tplc="624C881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07F82"/>
    <w:multiLevelType w:val="hybridMultilevel"/>
    <w:tmpl w:val="F9CEFFC6"/>
    <w:lvl w:ilvl="0" w:tplc="11624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66053"/>
    <w:multiLevelType w:val="hybridMultilevel"/>
    <w:tmpl w:val="B5DC6876"/>
    <w:lvl w:ilvl="0" w:tplc="F4B8DB3A">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D576E38"/>
    <w:multiLevelType w:val="hybridMultilevel"/>
    <w:tmpl w:val="6ED0874C"/>
    <w:lvl w:ilvl="0" w:tplc="EC447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55E20"/>
    <w:multiLevelType w:val="hybridMultilevel"/>
    <w:tmpl w:val="8DAC6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6249FF"/>
    <w:multiLevelType w:val="hybridMultilevel"/>
    <w:tmpl w:val="6ED0874C"/>
    <w:lvl w:ilvl="0" w:tplc="EC447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19"/>
    <w:rsid w:val="00020305"/>
    <w:rsid w:val="00053663"/>
    <w:rsid w:val="0007500A"/>
    <w:rsid w:val="00103B34"/>
    <w:rsid w:val="00142319"/>
    <w:rsid w:val="001709C1"/>
    <w:rsid w:val="00173522"/>
    <w:rsid w:val="001D101B"/>
    <w:rsid w:val="001E00CF"/>
    <w:rsid w:val="00203177"/>
    <w:rsid w:val="002045A6"/>
    <w:rsid w:val="002172F7"/>
    <w:rsid w:val="00284C9B"/>
    <w:rsid w:val="002B76B7"/>
    <w:rsid w:val="002D6B1A"/>
    <w:rsid w:val="002D6CC9"/>
    <w:rsid w:val="002E2445"/>
    <w:rsid w:val="002F0BC1"/>
    <w:rsid w:val="0031737E"/>
    <w:rsid w:val="00344BE0"/>
    <w:rsid w:val="0035562C"/>
    <w:rsid w:val="003933A7"/>
    <w:rsid w:val="003E2846"/>
    <w:rsid w:val="003F4AF9"/>
    <w:rsid w:val="00432536"/>
    <w:rsid w:val="004A675D"/>
    <w:rsid w:val="004B78D0"/>
    <w:rsid w:val="00544D97"/>
    <w:rsid w:val="00570B8A"/>
    <w:rsid w:val="0057640D"/>
    <w:rsid w:val="00582BC5"/>
    <w:rsid w:val="005B1216"/>
    <w:rsid w:val="005B38D5"/>
    <w:rsid w:val="005D5892"/>
    <w:rsid w:val="005E1A18"/>
    <w:rsid w:val="005F662F"/>
    <w:rsid w:val="00601030"/>
    <w:rsid w:val="0060168E"/>
    <w:rsid w:val="00616856"/>
    <w:rsid w:val="00641F5E"/>
    <w:rsid w:val="00672A73"/>
    <w:rsid w:val="00680588"/>
    <w:rsid w:val="006A4195"/>
    <w:rsid w:val="006C5637"/>
    <w:rsid w:val="006D1CAE"/>
    <w:rsid w:val="006D5A45"/>
    <w:rsid w:val="006D64C5"/>
    <w:rsid w:val="006E147B"/>
    <w:rsid w:val="00703168"/>
    <w:rsid w:val="00704C30"/>
    <w:rsid w:val="00716179"/>
    <w:rsid w:val="007247C8"/>
    <w:rsid w:val="00747C99"/>
    <w:rsid w:val="00765154"/>
    <w:rsid w:val="007669E3"/>
    <w:rsid w:val="007752CC"/>
    <w:rsid w:val="007A0FB6"/>
    <w:rsid w:val="007C6A0B"/>
    <w:rsid w:val="007D253E"/>
    <w:rsid w:val="007E3DC8"/>
    <w:rsid w:val="00803832"/>
    <w:rsid w:val="00805D45"/>
    <w:rsid w:val="00806143"/>
    <w:rsid w:val="00834706"/>
    <w:rsid w:val="00854EBE"/>
    <w:rsid w:val="0086777D"/>
    <w:rsid w:val="00886626"/>
    <w:rsid w:val="008900BB"/>
    <w:rsid w:val="008B7BFA"/>
    <w:rsid w:val="008D5F13"/>
    <w:rsid w:val="008E506D"/>
    <w:rsid w:val="008F1319"/>
    <w:rsid w:val="00922D72"/>
    <w:rsid w:val="009260C9"/>
    <w:rsid w:val="00936CC2"/>
    <w:rsid w:val="00991C13"/>
    <w:rsid w:val="009A406B"/>
    <w:rsid w:val="009F6DF5"/>
    <w:rsid w:val="00A14892"/>
    <w:rsid w:val="00A2376F"/>
    <w:rsid w:val="00A23C99"/>
    <w:rsid w:val="00A4080A"/>
    <w:rsid w:val="00A56855"/>
    <w:rsid w:val="00A65D47"/>
    <w:rsid w:val="00A8483E"/>
    <w:rsid w:val="00AB35D7"/>
    <w:rsid w:val="00AC7241"/>
    <w:rsid w:val="00AE5397"/>
    <w:rsid w:val="00AE6EE8"/>
    <w:rsid w:val="00B3737F"/>
    <w:rsid w:val="00B94554"/>
    <w:rsid w:val="00BB163C"/>
    <w:rsid w:val="00BC35DA"/>
    <w:rsid w:val="00C518BB"/>
    <w:rsid w:val="00C53730"/>
    <w:rsid w:val="00C53D8A"/>
    <w:rsid w:val="00C62D5C"/>
    <w:rsid w:val="00C741BA"/>
    <w:rsid w:val="00C879A1"/>
    <w:rsid w:val="00CC3679"/>
    <w:rsid w:val="00CE21DB"/>
    <w:rsid w:val="00D518BD"/>
    <w:rsid w:val="00DA4D88"/>
    <w:rsid w:val="00DC457B"/>
    <w:rsid w:val="00DD3045"/>
    <w:rsid w:val="00DE1DDD"/>
    <w:rsid w:val="00DE693E"/>
    <w:rsid w:val="00DF5185"/>
    <w:rsid w:val="00E409DD"/>
    <w:rsid w:val="00EB4F9D"/>
    <w:rsid w:val="00EC4DB4"/>
    <w:rsid w:val="00EC6E8A"/>
    <w:rsid w:val="00ED2ACF"/>
    <w:rsid w:val="00F06CC4"/>
    <w:rsid w:val="00F62BE1"/>
    <w:rsid w:val="00FB4527"/>
    <w:rsid w:val="00FC2626"/>
    <w:rsid w:val="00FC4002"/>
    <w:rsid w:val="00FE561C"/>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19"/>
    <w:pPr>
      <w:ind w:right="0"/>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F1319"/>
    <w:pPr>
      <w:keepNext/>
      <w:jc w:val="center"/>
      <w:outlineLvl w:val="0"/>
    </w:pPr>
    <w:rPr>
      <w:rFonts w:ascii="CG Times (PCL6)" w:hAnsi="CG Times (PCL6)"/>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319"/>
    <w:rPr>
      <w:rFonts w:ascii="CG Times (PCL6)" w:eastAsia="Times New Roman" w:hAnsi="CG Times (PCL6)" w:cs="Times New Roman"/>
      <w:b/>
      <w:sz w:val="20"/>
      <w:szCs w:val="20"/>
      <w:lang w:val="nl-BE"/>
    </w:rPr>
  </w:style>
  <w:style w:type="paragraph" w:styleId="Title">
    <w:name w:val="Title"/>
    <w:basedOn w:val="Normal"/>
    <w:link w:val="TitleChar"/>
    <w:qFormat/>
    <w:rsid w:val="008F1319"/>
    <w:pPr>
      <w:jc w:val="center"/>
    </w:pPr>
    <w:rPr>
      <w:rFonts w:ascii="CG Times (PCL6)" w:hAnsi="CG Times (PCL6)"/>
      <w:b/>
      <w:sz w:val="28"/>
      <w:lang w:val="nl-BE"/>
    </w:rPr>
  </w:style>
  <w:style w:type="character" w:customStyle="1" w:styleId="TitleChar">
    <w:name w:val="Title Char"/>
    <w:basedOn w:val="DefaultParagraphFont"/>
    <w:link w:val="Title"/>
    <w:rsid w:val="008F1319"/>
    <w:rPr>
      <w:rFonts w:ascii="CG Times (PCL6)" w:eastAsia="Times New Roman" w:hAnsi="CG Times (PCL6)" w:cs="Times New Roman"/>
      <w:b/>
      <w:sz w:val="28"/>
      <w:szCs w:val="20"/>
      <w:lang w:val="nl-BE"/>
    </w:rPr>
  </w:style>
  <w:style w:type="paragraph" w:styleId="BodyText">
    <w:name w:val="Body Text"/>
    <w:basedOn w:val="Normal"/>
    <w:link w:val="BodyTextChar"/>
    <w:semiHidden/>
    <w:unhideWhenUsed/>
    <w:rsid w:val="008F1319"/>
    <w:pPr>
      <w:tabs>
        <w:tab w:val="left" w:pos="-720"/>
      </w:tabs>
      <w:suppressAutoHyphens/>
      <w:jc w:val="both"/>
    </w:pPr>
    <w:rPr>
      <w:b/>
      <w:spacing w:val="-2"/>
      <w:u w:val="single"/>
      <w:lang w:val="fr-FR"/>
    </w:rPr>
  </w:style>
  <w:style w:type="character" w:customStyle="1" w:styleId="BodyTextChar">
    <w:name w:val="Body Text Char"/>
    <w:basedOn w:val="DefaultParagraphFont"/>
    <w:link w:val="BodyText"/>
    <w:semiHidden/>
    <w:rsid w:val="008F1319"/>
    <w:rPr>
      <w:rFonts w:ascii="Times New Roman" w:eastAsia="Times New Roman" w:hAnsi="Times New Roman" w:cs="Times New Roman"/>
      <w:b/>
      <w:spacing w:val="-2"/>
      <w:sz w:val="20"/>
      <w:szCs w:val="20"/>
      <w:u w:val="single"/>
      <w:lang w:val="fr-FR"/>
    </w:rPr>
  </w:style>
  <w:style w:type="paragraph" w:styleId="Subtitle">
    <w:name w:val="Subtitle"/>
    <w:basedOn w:val="Normal"/>
    <w:link w:val="SubtitleChar"/>
    <w:qFormat/>
    <w:rsid w:val="008F1319"/>
    <w:pPr>
      <w:jc w:val="center"/>
    </w:pPr>
    <w:rPr>
      <w:rFonts w:ascii="CG Times (PCL6)" w:hAnsi="CG Times (PCL6)"/>
      <w:b/>
      <w:lang w:val="nl-BE"/>
    </w:rPr>
  </w:style>
  <w:style w:type="character" w:customStyle="1" w:styleId="SubtitleChar">
    <w:name w:val="Subtitle Char"/>
    <w:basedOn w:val="DefaultParagraphFont"/>
    <w:link w:val="Subtitle"/>
    <w:rsid w:val="008F1319"/>
    <w:rPr>
      <w:rFonts w:ascii="CG Times (PCL6)" w:eastAsia="Times New Roman" w:hAnsi="CG Times (PCL6)" w:cs="Times New Roman"/>
      <w:b/>
      <w:sz w:val="20"/>
      <w:szCs w:val="20"/>
      <w:lang w:val="nl-BE"/>
    </w:rPr>
  </w:style>
  <w:style w:type="paragraph" w:styleId="ListParagraph">
    <w:name w:val="List Paragraph"/>
    <w:basedOn w:val="Normal"/>
    <w:uiPriority w:val="34"/>
    <w:qFormat/>
    <w:rsid w:val="00C741BA"/>
    <w:pPr>
      <w:ind w:left="720"/>
      <w:contextualSpacing/>
    </w:pPr>
    <w:rPr>
      <w:lang w:val="fr-FR"/>
    </w:rPr>
  </w:style>
  <w:style w:type="character" w:styleId="CommentReference">
    <w:name w:val="annotation reference"/>
    <w:basedOn w:val="DefaultParagraphFont"/>
    <w:uiPriority w:val="99"/>
    <w:semiHidden/>
    <w:unhideWhenUsed/>
    <w:rsid w:val="00FE561C"/>
    <w:rPr>
      <w:sz w:val="16"/>
      <w:szCs w:val="16"/>
    </w:rPr>
  </w:style>
  <w:style w:type="paragraph" w:styleId="CommentText">
    <w:name w:val="annotation text"/>
    <w:basedOn w:val="Normal"/>
    <w:link w:val="CommentTextChar"/>
    <w:uiPriority w:val="99"/>
    <w:semiHidden/>
    <w:unhideWhenUsed/>
    <w:rsid w:val="00FE561C"/>
  </w:style>
  <w:style w:type="character" w:customStyle="1" w:styleId="CommentTextChar">
    <w:name w:val="Comment Text Char"/>
    <w:basedOn w:val="DefaultParagraphFont"/>
    <w:link w:val="CommentText"/>
    <w:uiPriority w:val="99"/>
    <w:semiHidden/>
    <w:rsid w:val="00FE56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561C"/>
    <w:rPr>
      <w:b/>
      <w:bCs/>
    </w:rPr>
  </w:style>
  <w:style w:type="character" w:customStyle="1" w:styleId="CommentSubjectChar">
    <w:name w:val="Comment Subject Char"/>
    <w:basedOn w:val="CommentTextChar"/>
    <w:link w:val="CommentSubject"/>
    <w:uiPriority w:val="99"/>
    <w:semiHidden/>
    <w:rsid w:val="00FE561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E561C"/>
    <w:rPr>
      <w:rFonts w:ascii="Tahoma" w:hAnsi="Tahoma" w:cs="Tahoma"/>
      <w:sz w:val="16"/>
      <w:szCs w:val="16"/>
    </w:rPr>
  </w:style>
  <w:style w:type="character" w:customStyle="1" w:styleId="BalloonTextChar">
    <w:name w:val="Balloon Text Char"/>
    <w:basedOn w:val="DefaultParagraphFont"/>
    <w:link w:val="BalloonText"/>
    <w:uiPriority w:val="99"/>
    <w:semiHidden/>
    <w:rsid w:val="00FE561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2172F7"/>
  </w:style>
  <w:style w:type="character" w:customStyle="1" w:styleId="FootnoteTextChar">
    <w:name w:val="Footnote Text Char"/>
    <w:basedOn w:val="DefaultParagraphFont"/>
    <w:link w:val="FootnoteText"/>
    <w:uiPriority w:val="99"/>
    <w:semiHidden/>
    <w:rsid w:val="002172F7"/>
    <w:rPr>
      <w:rFonts w:ascii="Times New Roman" w:eastAsia="Times New Roman" w:hAnsi="Times New Roman" w:cs="Times New Roman"/>
      <w:sz w:val="20"/>
      <w:szCs w:val="20"/>
      <w:lang w:val="en-GB"/>
    </w:rPr>
  </w:style>
  <w:style w:type="table" w:styleId="TableGrid">
    <w:name w:val="Table Grid"/>
    <w:basedOn w:val="TableNormal"/>
    <w:rsid w:val="002172F7"/>
    <w:pPr>
      <w:widowControl w:val="0"/>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19"/>
    <w:pPr>
      <w:ind w:right="0"/>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F1319"/>
    <w:pPr>
      <w:keepNext/>
      <w:jc w:val="center"/>
      <w:outlineLvl w:val="0"/>
    </w:pPr>
    <w:rPr>
      <w:rFonts w:ascii="CG Times (PCL6)" w:hAnsi="CG Times (PCL6)"/>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319"/>
    <w:rPr>
      <w:rFonts w:ascii="CG Times (PCL6)" w:eastAsia="Times New Roman" w:hAnsi="CG Times (PCL6)" w:cs="Times New Roman"/>
      <w:b/>
      <w:sz w:val="20"/>
      <w:szCs w:val="20"/>
      <w:lang w:val="nl-BE"/>
    </w:rPr>
  </w:style>
  <w:style w:type="paragraph" w:styleId="Title">
    <w:name w:val="Title"/>
    <w:basedOn w:val="Normal"/>
    <w:link w:val="TitleChar"/>
    <w:qFormat/>
    <w:rsid w:val="008F1319"/>
    <w:pPr>
      <w:jc w:val="center"/>
    </w:pPr>
    <w:rPr>
      <w:rFonts w:ascii="CG Times (PCL6)" w:hAnsi="CG Times (PCL6)"/>
      <w:b/>
      <w:sz w:val="28"/>
      <w:lang w:val="nl-BE"/>
    </w:rPr>
  </w:style>
  <w:style w:type="character" w:customStyle="1" w:styleId="TitleChar">
    <w:name w:val="Title Char"/>
    <w:basedOn w:val="DefaultParagraphFont"/>
    <w:link w:val="Title"/>
    <w:rsid w:val="008F1319"/>
    <w:rPr>
      <w:rFonts w:ascii="CG Times (PCL6)" w:eastAsia="Times New Roman" w:hAnsi="CG Times (PCL6)" w:cs="Times New Roman"/>
      <w:b/>
      <w:sz w:val="28"/>
      <w:szCs w:val="20"/>
      <w:lang w:val="nl-BE"/>
    </w:rPr>
  </w:style>
  <w:style w:type="paragraph" w:styleId="BodyText">
    <w:name w:val="Body Text"/>
    <w:basedOn w:val="Normal"/>
    <w:link w:val="BodyTextChar"/>
    <w:semiHidden/>
    <w:unhideWhenUsed/>
    <w:rsid w:val="008F1319"/>
    <w:pPr>
      <w:tabs>
        <w:tab w:val="left" w:pos="-720"/>
      </w:tabs>
      <w:suppressAutoHyphens/>
      <w:jc w:val="both"/>
    </w:pPr>
    <w:rPr>
      <w:b/>
      <w:spacing w:val="-2"/>
      <w:u w:val="single"/>
      <w:lang w:val="fr-FR"/>
    </w:rPr>
  </w:style>
  <w:style w:type="character" w:customStyle="1" w:styleId="BodyTextChar">
    <w:name w:val="Body Text Char"/>
    <w:basedOn w:val="DefaultParagraphFont"/>
    <w:link w:val="BodyText"/>
    <w:semiHidden/>
    <w:rsid w:val="008F1319"/>
    <w:rPr>
      <w:rFonts w:ascii="Times New Roman" w:eastAsia="Times New Roman" w:hAnsi="Times New Roman" w:cs="Times New Roman"/>
      <w:b/>
      <w:spacing w:val="-2"/>
      <w:sz w:val="20"/>
      <w:szCs w:val="20"/>
      <w:u w:val="single"/>
      <w:lang w:val="fr-FR"/>
    </w:rPr>
  </w:style>
  <w:style w:type="paragraph" w:styleId="Subtitle">
    <w:name w:val="Subtitle"/>
    <w:basedOn w:val="Normal"/>
    <w:link w:val="SubtitleChar"/>
    <w:qFormat/>
    <w:rsid w:val="008F1319"/>
    <w:pPr>
      <w:jc w:val="center"/>
    </w:pPr>
    <w:rPr>
      <w:rFonts w:ascii="CG Times (PCL6)" w:hAnsi="CG Times (PCL6)"/>
      <w:b/>
      <w:lang w:val="nl-BE"/>
    </w:rPr>
  </w:style>
  <w:style w:type="character" w:customStyle="1" w:styleId="SubtitleChar">
    <w:name w:val="Subtitle Char"/>
    <w:basedOn w:val="DefaultParagraphFont"/>
    <w:link w:val="Subtitle"/>
    <w:rsid w:val="008F1319"/>
    <w:rPr>
      <w:rFonts w:ascii="CG Times (PCL6)" w:eastAsia="Times New Roman" w:hAnsi="CG Times (PCL6)" w:cs="Times New Roman"/>
      <w:b/>
      <w:sz w:val="20"/>
      <w:szCs w:val="20"/>
      <w:lang w:val="nl-BE"/>
    </w:rPr>
  </w:style>
  <w:style w:type="paragraph" w:styleId="ListParagraph">
    <w:name w:val="List Paragraph"/>
    <w:basedOn w:val="Normal"/>
    <w:uiPriority w:val="34"/>
    <w:qFormat/>
    <w:rsid w:val="00C741BA"/>
    <w:pPr>
      <w:ind w:left="720"/>
      <w:contextualSpacing/>
    </w:pPr>
    <w:rPr>
      <w:lang w:val="fr-FR"/>
    </w:rPr>
  </w:style>
  <w:style w:type="character" w:styleId="CommentReference">
    <w:name w:val="annotation reference"/>
    <w:basedOn w:val="DefaultParagraphFont"/>
    <w:uiPriority w:val="99"/>
    <w:semiHidden/>
    <w:unhideWhenUsed/>
    <w:rsid w:val="00FE561C"/>
    <w:rPr>
      <w:sz w:val="16"/>
      <w:szCs w:val="16"/>
    </w:rPr>
  </w:style>
  <w:style w:type="paragraph" w:styleId="CommentText">
    <w:name w:val="annotation text"/>
    <w:basedOn w:val="Normal"/>
    <w:link w:val="CommentTextChar"/>
    <w:uiPriority w:val="99"/>
    <w:semiHidden/>
    <w:unhideWhenUsed/>
    <w:rsid w:val="00FE561C"/>
  </w:style>
  <w:style w:type="character" w:customStyle="1" w:styleId="CommentTextChar">
    <w:name w:val="Comment Text Char"/>
    <w:basedOn w:val="DefaultParagraphFont"/>
    <w:link w:val="CommentText"/>
    <w:uiPriority w:val="99"/>
    <w:semiHidden/>
    <w:rsid w:val="00FE56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561C"/>
    <w:rPr>
      <w:b/>
      <w:bCs/>
    </w:rPr>
  </w:style>
  <w:style w:type="character" w:customStyle="1" w:styleId="CommentSubjectChar">
    <w:name w:val="Comment Subject Char"/>
    <w:basedOn w:val="CommentTextChar"/>
    <w:link w:val="CommentSubject"/>
    <w:uiPriority w:val="99"/>
    <w:semiHidden/>
    <w:rsid w:val="00FE561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E561C"/>
    <w:rPr>
      <w:rFonts w:ascii="Tahoma" w:hAnsi="Tahoma" w:cs="Tahoma"/>
      <w:sz w:val="16"/>
      <w:szCs w:val="16"/>
    </w:rPr>
  </w:style>
  <w:style w:type="character" w:customStyle="1" w:styleId="BalloonTextChar">
    <w:name w:val="Balloon Text Char"/>
    <w:basedOn w:val="DefaultParagraphFont"/>
    <w:link w:val="BalloonText"/>
    <w:uiPriority w:val="99"/>
    <w:semiHidden/>
    <w:rsid w:val="00FE561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2172F7"/>
  </w:style>
  <w:style w:type="character" w:customStyle="1" w:styleId="FootnoteTextChar">
    <w:name w:val="Footnote Text Char"/>
    <w:basedOn w:val="DefaultParagraphFont"/>
    <w:link w:val="FootnoteText"/>
    <w:uiPriority w:val="99"/>
    <w:semiHidden/>
    <w:rsid w:val="002172F7"/>
    <w:rPr>
      <w:rFonts w:ascii="Times New Roman" w:eastAsia="Times New Roman" w:hAnsi="Times New Roman" w:cs="Times New Roman"/>
      <w:sz w:val="20"/>
      <w:szCs w:val="20"/>
      <w:lang w:val="en-GB"/>
    </w:rPr>
  </w:style>
  <w:style w:type="table" w:styleId="TableGrid">
    <w:name w:val="Table Grid"/>
    <w:basedOn w:val="TableNormal"/>
    <w:rsid w:val="002172F7"/>
    <w:pPr>
      <w:widowControl w:val="0"/>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8102">
      <w:bodyDiv w:val="1"/>
      <w:marLeft w:val="0"/>
      <w:marRight w:val="0"/>
      <w:marTop w:val="0"/>
      <w:marBottom w:val="0"/>
      <w:divBdr>
        <w:top w:val="none" w:sz="0" w:space="0" w:color="auto"/>
        <w:left w:val="none" w:sz="0" w:space="0" w:color="auto"/>
        <w:bottom w:val="none" w:sz="0" w:space="0" w:color="auto"/>
        <w:right w:val="none" w:sz="0" w:space="0" w:color="auto"/>
      </w:divBdr>
    </w:div>
    <w:div w:id="16615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58</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E37D68C-AE5C-480D-A8FA-4DF17F22E256}"/>
</file>

<file path=customXml/itemProps2.xml><?xml version="1.0" encoding="utf-8"?>
<ds:datastoreItem xmlns:ds="http://schemas.openxmlformats.org/officeDocument/2006/customXml" ds:itemID="{17DE56C3-EE46-4619-A3BB-5C5516C8816A}"/>
</file>

<file path=customXml/itemProps3.xml><?xml version="1.0" encoding="utf-8"?>
<ds:datastoreItem xmlns:ds="http://schemas.openxmlformats.org/officeDocument/2006/customXml" ds:itemID="{B263E9ED-9EEE-44CB-810C-4140FABD2C58}"/>
</file>

<file path=customXml/itemProps4.xml><?xml version="1.0" encoding="utf-8"?>
<ds:datastoreItem xmlns:ds="http://schemas.openxmlformats.org/officeDocument/2006/customXml" ds:itemID="{AA30AC87-1CEA-4DC9-B85D-9C4EEB1FC770}"/>
</file>

<file path=docProps/app.xml><?xml version="1.0" encoding="utf-8"?>
<Properties xmlns="http://schemas.openxmlformats.org/officeDocument/2006/extended-properties" xmlns:vt="http://schemas.openxmlformats.org/officeDocument/2006/docPropsVTypes">
  <Template>2BC48839</Template>
  <TotalTime>0</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Deuxième avenant à la convention en matière d’autogestion de patients atteints de diabète</dc:title>
  <dc:creator>Celine Franken</dc:creator>
  <cp:lastModifiedBy>Celine Franken</cp:lastModifiedBy>
  <cp:revision>2</cp:revision>
  <cp:lastPrinted>2018-06-20T13:00:00Z</cp:lastPrinted>
  <dcterms:created xsi:type="dcterms:W3CDTF">2018-07-12T10:56:00Z</dcterms:created>
  <dcterms:modified xsi:type="dcterms:W3CDTF">2018-07-12T10:56:00Z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