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1E" w:rsidRDefault="00DE371E" w:rsidP="002C1CE7">
      <w:pPr>
        <w:ind w:left="100"/>
      </w:pPr>
      <w:bookmarkStart w:id="0" w:name="_GoBack"/>
      <w:bookmarkEnd w:id="0"/>
    </w:p>
    <w:p w:rsidR="00DE371E" w:rsidRDefault="00DE371E" w:rsidP="002C1CE7">
      <w:pPr>
        <w:ind w:left="100"/>
      </w:pPr>
    </w:p>
    <w:p w:rsidR="00DE371E" w:rsidRDefault="00DE371E" w:rsidP="002C1CE7">
      <w:pPr>
        <w:ind w:left="100"/>
      </w:pPr>
    </w:p>
    <w:p w:rsidR="00DE371E" w:rsidRPr="00931158" w:rsidRDefault="00BC2CA0" w:rsidP="002C1CE7">
      <w:pPr>
        <w:ind w:left="100"/>
      </w:pPr>
      <w:r w:rsidRPr="00931158">
        <w:rPr>
          <w:noProof/>
          <w:lang w:eastAsia="fr-BE"/>
        </w:rPr>
        <mc:AlternateContent>
          <mc:Choice Requires="wps">
            <w:drawing>
              <wp:anchor distT="0" distB="0" distL="114300" distR="114300" simplePos="0" relativeHeight="251657728" behindDoc="1" locked="0" layoutInCell="1" allowOverlap="1" wp14:anchorId="1C21A043" wp14:editId="510DE9F4">
                <wp:simplePos x="0" y="0"/>
                <wp:positionH relativeFrom="column">
                  <wp:posOffset>2659380</wp:posOffset>
                </wp:positionH>
                <wp:positionV relativeFrom="paragraph">
                  <wp:posOffset>0</wp:posOffset>
                </wp:positionV>
                <wp:extent cx="2751455" cy="104775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1047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5C" w:rsidRDefault="004B7A5C" w:rsidP="004E5CB8">
                            <w:pPr>
                              <w:rPr>
                                <w:sz w:val="12"/>
                                <w:szCs w:val="12"/>
                              </w:rPr>
                            </w:pPr>
                            <w:proofErr w:type="spellStart"/>
                            <w:r>
                              <w:rPr>
                                <w:sz w:val="12"/>
                                <w:szCs w:val="12"/>
                              </w:rPr>
                              <w:t>Exp</w:t>
                            </w:r>
                            <w:proofErr w:type="spellEnd"/>
                            <w:r>
                              <w:rPr>
                                <w:sz w:val="12"/>
                                <w:szCs w:val="12"/>
                              </w:rPr>
                              <w:t>./</w:t>
                            </w:r>
                            <w:proofErr w:type="spellStart"/>
                            <w:r>
                              <w:rPr>
                                <w:sz w:val="12"/>
                                <w:szCs w:val="12"/>
                              </w:rPr>
                              <w:t>Afz</w:t>
                            </w:r>
                            <w:proofErr w:type="spellEnd"/>
                            <w:r>
                              <w:rPr>
                                <w:sz w:val="12"/>
                                <w:szCs w:val="12"/>
                              </w:rPr>
                              <w:t>. : INAMI (SSS), Avenue de Tervuren 211, 1150 Bruxelles</w:t>
                            </w:r>
                          </w:p>
                          <w:p w:rsidR="004B7A5C" w:rsidRDefault="004B7A5C" w:rsidP="00E93731"/>
                          <w:p w:rsidR="004B7A5C" w:rsidRDefault="004B7A5C" w:rsidP="00E93731">
                            <w:r>
                              <w:t>Diététiciens</w:t>
                            </w:r>
                          </w:p>
                          <w:p w:rsidR="004B7A5C" w:rsidRDefault="004B7A5C" w:rsidP="00E93731"/>
                          <w:p w:rsidR="004B7A5C" w:rsidRDefault="004B7A5C" w:rsidP="00E93731"/>
                          <w:p w:rsidR="004B7A5C" w:rsidRPr="00BD6962" w:rsidRDefault="004B7A5C" w:rsidP="00E93731"/>
                          <w:p w:rsidR="004B7A5C" w:rsidRPr="000E228F" w:rsidRDefault="004B7A5C" w:rsidP="000E2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209.4pt;margin-top:0;width:216.65pt;height: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" filled="f" stroked="f">
                <v:textbox>
                  <w:txbxContent>
                    <w:p w:rsidR="004B7A5C" w:rsidRDefault="004B7A5C" w:rsidP="004E5CB8">
                      <w:pPr>
                        <w:rPr>
                          <w:sz w:val="12"/>
                          <w:szCs w:val="12"/>
                        </w:rPr>
                      </w:pPr>
                      <w:r>
                        <w:rPr>
                          <w:sz w:val="12"/>
                          <w:szCs w:val="12"/>
                        </w:rPr>
                        <w:t>Exp./Afz. : INAMI (SSS), Avenue de Tervuren 211, 1150 Bruxelles</w:t>
                      </w:r>
                    </w:p>
                    <w:p w:rsidR="004B7A5C" w:rsidRDefault="004B7A5C" w:rsidP="00E93731"/>
                    <w:p w:rsidR="004B7A5C" w:rsidRDefault="004B7A5C" w:rsidP="00E93731">
                      <w:r>
                        <w:t>Diététiciens</w:t>
                      </w:r>
                    </w:p>
                    <w:p w:rsidR="004B7A5C" w:rsidRDefault="004B7A5C" w:rsidP="00E93731"/>
                    <w:p w:rsidR="004B7A5C" w:rsidRDefault="004B7A5C" w:rsidP="00E93731"/>
                    <w:p w:rsidR="004B7A5C" w:rsidRPr="00BD6962" w:rsidRDefault="004B7A5C" w:rsidP="00E93731"/>
                    <w:p w:rsidR="004B7A5C" w:rsidRPr="000E228F" w:rsidRDefault="004B7A5C" w:rsidP="000E228F"/>
                  </w:txbxContent>
                </v:textbox>
              </v:shape>
            </w:pict>
          </mc:Fallback>
        </mc:AlternateContent>
      </w:r>
    </w:p>
    <w:p w:rsidR="00DE371E" w:rsidRPr="00931158" w:rsidRDefault="004E5CB8" w:rsidP="002C1CE7">
      <w:pPr>
        <w:ind w:left="100"/>
      </w:pPr>
      <w:r w:rsidRPr="00931158">
        <w:rPr>
          <w:noProof/>
          <w:lang w:eastAsia="fr-BE"/>
        </w:rPr>
        <mc:AlternateContent>
          <mc:Choice Requires="wps">
            <w:drawing>
              <wp:anchor distT="0" distB="0" distL="114300" distR="114300" simplePos="0" relativeHeight="251656704" behindDoc="1" locked="0" layoutInCell="1" allowOverlap="1" wp14:anchorId="1DD517A6" wp14:editId="12F90543">
                <wp:simplePos x="0" y="0"/>
                <wp:positionH relativeFrom="column">
                  <wp:posOffset>63500</wp:posOffset>
                </wp:positionH>
                <wp:positionV relativeFrom="paragraph">
                  <wp:posOffset>101600</wp:posOffset>
                </wp:positionV>
                <wp:extent cx="1651000" cy="800100"/>
                <wp:effectExtent l="0" t="0" r="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7A5C" w:rsidRPr="00DE371E" w:rsidRDefault="004B7A5C" w:rsidP="00DE371E">
                            <w:pPr>
                              <w:rPr>
                                <w:rFonts w:ascii="Arial Narrow" w:hAnsi="Arial Narrow"/>
                                <w:b/>
                                <w:bCs/>
                                <w:spacing w:val="120"/>
                                <w:kern w:val="20"/>
                                <w:sz w:val="40"/>
                                <w:szCs w:val="40"/>
                                <w:lang w:val="fr-FR"/>
                              </w:rPr>
                            </w:pPr>
                            <w:r w:rsidRPr="00DE371E">
                              <w:rPr>
                                <w:rFonts w:ascii="Arial Narrow" w:hAnsi="Arial Narrow"/>
                                <w:b/>
                                <w:bCs/>
                                <w:spacing w:val="120"/>
                                <w:kern w:val="20"/>
                                <w:sz w:val="40"/>
                                <w:szCs w:val="40"/>
                                <w:lang w:val="fr-FR"/>
                              </w:rPr>
                              <w:t>INAMI</w:t>
                            </w:r>
                          </w:p>
                          <w:p w:rsidR="004B7A5C" w:rsidRPr="00A36960" w:rsidRDefault="004B7A5C">
                            <w:pPr>
                              <w:rPr>
                                <w:rFonts w:ascii="Arial Narrow" w:hAnsi="Arial Narrow"/>
                                <w:sz w:val="12"/>
                                <w:szCs w:val="12"/>
                              </w:rPr>
                            </w:pPr>
                            <w:r w:rsidRPr="00A36960">
                              <w:rPr>
                                <w:rFonts w:ascii="Arial Narrow" w:hAnsi="Arial Narrow"/>
                                <w:sz w:val="12"/>
                                <w:szCs w:val="12"/>
                              </w:rPr>
                              <w:t xml:space="preserve">Institut National d'Assurance Maladie </w:t>
                            </w:r>
                            <w:r w:rsidRPr="00A36960">
                              <w:rPr>
                                <w:rFonts w:ascii="Arial Narrow" w:hAnsi="Arial Narrow"/>
                                <w:sz w:val="12"/>
                                <w:szCs w:val="12"/>
                              </w:rPr>
                              <w:sym w:font="Symbol" w:char="F0B7"/>
                            </w:r>
                            <w:r w:rsidRPr="00A36960">
                              <w:rPr>
                                <w:rFonts w:ascii="Arial Narrow" w:hAnsi="Arial Narrow"/>
                                <w:sz w:val="12"/>
                                <w:szCs w:val="12"/>
                              </w:rPr>
                              <w:t xml:space="preserve"> Invalidité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pt;margin-top:8pt;width:130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" filled="f" stroked="f">
                <v:textbox>
                  <w:txbxContent>
                    <w:p w:rsidR="004B7A5C" w:rsidRPr="00DE371E" w:rsidRDefault="004B7A5C" w:rsidP="00DE371E">
                      <w:pPr>
                        <w:rPr>
                          <w:rFonts w:ascii="Arial Narrow" w:hAnsi="Arial Narrow"/>
                          <w:b/>
                          <w:bCs/>
                          <w:spacing w:val="120"/>
                          <w:kern w:val="20"/>
                          <w:sz w:val="40"/>
                          <w:szCs w:val="40"/>
                          <w:lang w:val="fr-FR"/>
                        </w:rPr>
                      </w:pPr>
                      <w:r w:rsidRPr="00DE371E">
                        <w:rPr>
                          <w:rFonts w:ascii="Arial Narrow" w:hAnsi="Arial Narrow"/>
                          <w:b/>
                          <w:bCs/>
                          <w:spacing w:val="120"/>
                          <w:kern w:val="20"/>
                          <w:sz w:val="40"/>
                          <w:szCs w:val="40"/>
                          <w:lang w:val="fr-FR"/>
                        </w:rPr>
                        <w:t>INAMI</w:t>
                      </w:r>
                    </w:p>
                    <w:p w:rsidR="004B7A5C" w:rsidRPr="00A36960" w:rsidRDefault="004B7A5C">
                      <w:pPr>
                        <w:rPr>
                          <w:rFonts w:ascii="Arial Narrow" w:hAnsi="Arial Narrow"/>
                          <w:sz w:val="12"/>
                          <w:szCs w:val="12"/>
                        </w:rPr>
                      </w:pPr>
                      <w:r w:rsidRPr="00A36960">
                        <w:rPr>
                          <w:rFonts w:ascii="Arial Narrow" w:hAnsi="Arial Narrow"/>
                          <w:sz w:val="12"/>
                          <w:szCs w:val="12"/>
                        </w:rPr>
                        <w:t xml:space="preserve">Institut National d'Assurance Maladie </w:t>
                      </w:r>
                      <w:r w:rsidRPr="00A36960">
                        <w:rPr>
                          <w:rFonts w:ascii="Arial Narrow" w:hAnsi="Arial Narrow"/>
                          <w:sz w:val="12"/>
                          <w:szCs w:val="12"/>
                        </w:rPr>
                        <w:sym w:font="Symbol" w:char="F0B7"/>
                      </w:r>
                      <w:r w:rsidRPr="00A36960">
                        <w:rPr>
                          <w:rFonts w:ascii="Arial Narrow" w:hAnsi="Arial Narrow"/>
                          <w:sz w:val="12"/>
                          <w:szCs w:val="12"/>
                        </w:rPr>
                        <w:t xml:space="preserve"> Invalidité</w:t>
                      </w:r>
                    </w:p>
                  </w:txbxContent>
                </v:textbox>
              </v:shape>
            </w:pict>
          </mc:Fallback>
        </mc:AlternateContent>
      </w:r>
    </w:p>
    <w:p w:rsidR="00DE371E" w:rsidRPr="00931158" w:rsidRDefault="00DE371E" w:rsidP="002C1CE7">
      <w:pPr>
        <w:ind w:left="100"/>
      </w:pPr>
    </w:p>
    <w:p w:rsidR="00DE371E" w:rsidRPr="00931158" w:rsidRDefault="00DE371E" w:rsidP="002C1CE7">
      <w:pPr>
        <w:ind w:left="100"/>
      </w:pPr>
    </w:p>
    <w:p w:rsidR="00DE371E" w:rsidRPr="00931158" w:rsidRDefault="004E5CB8" w:rsidP="002C1CE7">
      <w:pPr>
        <w:ind w:left="100"/>
      </w:pPr>
      <w:r w:rsidRPr="00931158">
        <w:rPr>
          <w:noProof/>
          <w:lang w:eastAsia="fr-BE"/>
        </w:rPr>
        <mc:AlternateContent>
          <mc:Choice Requires="wps">
            <w:drawing>
              <wp:anchor distT="0" distB="0" distL="114300" distR="114300" simplePos="0" relativeHeight="251658752" behindDoc="0" locked="0" layoutInCell="1" allowOverlap="1" wp14:anchorId="764B9987" wp14:editId="4D4DC71B">
                <wp:simplePos x="0" y="0"/>
                <wp:positionH relativeFrom="column">
                  <wp:posOffset>190500</wp:posOffset>
                </wp:positionH>
                <wp:positionV relativeFrom="paragraph">
                  <wp:posOffset>6350</wp:posOffset>
                </wp:positionV>
                <wp:extent cx="1397000" cy="0"/>
                <wp:effectExtent l="9525" t="6350" r="12700" b="1270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pt" to="12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ytV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"/>
            </w:pict>
          </mc:Fallback>
        </mc:AlternateContent>
      </w:r>
    </w:p>
    <w:p w:rsidR="00DE371E" w:rsidRPr="00931158" w:rsidRDefault="00DE371E" w:rsidP="002C1CE7">
      <w:pPr>
        <w:ind w:left="100"/>
      </w:pPr>
    </w:p>
    <w:p w:rsidR="00DE371E" w:rsidRPr="00931158" w:rsidRDefault="00DE371E" w:rsidP="002C1CE7">
      <w:pPr>
        <w:ind w:left="100"/>
      </w:pPr>
    </w:p>
    <w:tbl>
      <w:tblPr>
        <w:tblW w:w="9575" w:type="dxa"/>
        <w:tblLook w:val="01E0" w:firstRow="1" w:lastRow="1" w:firstColumn="1" w:lastColumn="1" w:noHBand="0" w:noVBand="0"/>
      </w:tblPr>
      <w:tblGrid>
        <w:gridCol w:w="2093"/>
        <w:gridCol w:w="1417"/>
        <w:gridCol w:w="1985"/>
        <w:gridCol w:w="4080"/>
      </w:tblGrid>
      <w:tr w:rsidR="00DE371E" w:rsidRPr="00931158" w:rsidTr="007F7285">
        <w:tc>
          <w:tcPr>
            <w:tcW w:w="5495" w:type="dxa"/>
            <w:gridSpan w:val="3"/>
          </w:tcPr>
          <w:p w:rsidR="00FA037F" w:rsidRPr="00931158" w:rsidRDefault="00A36960" w:rsidP="003419DD">
            <w:pPr>
              <w:ind w:left="100"/>
              <w:rPr>
                <w:b/>
                <w:sz w:val="18"/>
                <w:szCs w:val="18"/>
              </w:rPr>
            </w:pPr>
            <w:r w:rsidRPr="00931158">
              <w:rPr>
                <w:b/>
                <w:sz w:val="18"/>
                <w:szCs w:val="18"/>
              </w:rPr>
              <w:t>SERVICE DES SOINS DE SANTE</w:t>
            </w:r>
          </w:p>
        </w:tc>
        <w:tc>
          <w:tcPr>
            <w:tcW w:w="4080" w:type="dxa"/>
          </w:tcPr>
          <w:p w:rsidR="00DE371E" w:rsidRPr="00931158" w:rsidRDefault="00DE371E" w:rsidP="003419DD">
            <w:pPr>
              <w:ind w:left="100"/>
              <w:rPr>
                <w:sz w:val="18"/>
                <w:szCs w:val="18"/>
              </w:rPr>
            </w:pPr>
          </w:p>
        </w:tc>
      </w:tr>
      <w:tr w:rsidR="00FA037F" w:rsidRPr="00931158" w:rsidTr="007F7285">
        <w:tc>
          <w:tcPr>
            <w:tcW w:w="3510" w:type="dxa"/>
            <w:gridSpan w:val="2"/>
            <w:shd w:val="clear" w:color="auto" w:fill="auto"/>
          </w:tcPr>
          <w:p w:rsidR="00FA037F" w:rsidRPr="00931158" w:rsidRDefault="00FA037F" w:rsidP="003419DD">
            <w:pPr>
              <w:ind w:left="100"/>
              <w:rPr>
                <w:b/>
                <w:sz w:val="18"/>
                <w:szCs w:val="18"/>
              </w:rPr>
            </w:pPr>
          </w:p>
          <w:p w:rsidR="00DA7F18" w:rsidRPr="00931158" w:rsidRDefault="00DA7F18" w:rsidP="003419DD">
            <w:pPr>
              <w:ind w:left="100"/>
              <w:rPr>
                <w:b/>
                <w:sz w:val="18"/>
                <w:szCs w:val="18"/>
              </w:rPr>
            </w:pPr>
          </w:p>
        </w:tc>
        <w:tc>
          <w:tcPr>
            <w:tcW w:w="1985" w:type="dxa"/>
            <w:shd w:val="clear" w:color="auto" w:fill="auto"/>
          </w:tcPr>
          <w:p w:rsidR="00FA037F" w:rsidRPr="00931158" w:rsidRDefault="00FA037F" w:rsidP="003419DD">
            <w:pPr>
              <w:ind w:left="100"/>
              <w:rPr>
                <w:sz w:val="18"/>
                <w:szCs w:val="18"/>
              </w:rPr>
            </w:pPr>
          </w:p>
        </w:tc>
        <w:tc>
          <w:tcPr>
            <w:tcW w:w="4080" w:type="dxa"/>
          </w:tcPr>
          <w:p w:rsidR="00FA037F" w:rsidRPr="00931158" w:rsidRDefault="00FA037F" w:rsidP="003419DD">
            <w:pPr>
              <w:ind w:left="100"/>
              <w:rPr>
                <w:sz w:val="18"/>
                <w:szCs w:val="18"/>
              </w:rPr>
            </w:pPr>
          </w:p>
        </w:tc>
      </w:tr>
      <w:tr w:rsidR="00A36960" w:rsidRPr="00931158" w:rsidTr="007F7285">
        <w:tc>
          <w:tcPr>
            <w:tcW w:w="3510" w:type="dxa"/>
            <w:gridSpan w:val="2"/>
            <w:shd w:val="clear" w:color="auto" w:fill="auto"/>
          </w:tcPr>
          <w:p w:rsidR="00A36960" w:rsidRPr="00931158" w:rsidRDefault="00A36960" w:rsidP="003419DD">
            <w:pPr>
              <w:ind w:left="100"/>
              <w:rPr>
                <w:b/>
                <w:sz w:val="18"/>
                <w:szCs w:val="18"/>
              </w:rPr>
            </w:pPr>
            <w:r w:rsidRPr="00931158">
              <w:rPr>
                <w:b/>
                <w:sz w:val="18"/>
                <w:szCs w:val="18"/>
              </w:rPr>
              <w:t>Correspondant :</w:t>
            </w:r>
            <w:r w:rsidR="007F7285" w:rsidRPr="00931158">
              <w:rPr>
                <w:b/>
                <w:sz w:val="18"/>
                <w:szCs w:val="18"/>
              </w:rPr>
              <w:t xml:space="preserve"> Franken Céline</w:t>
            </w:r>
          </w:p>
        </w:tc>
        <w:tc>
          <w:tcPr>
            <w:tcW w:w="1985" w:type="dxa"/>
            <w:shd w:val="clear" w:color="auto" w:fill="auto"/>
          </w:tcPr>
          <w:p w:rsidR="00A36960" w:rsidRPr="00931158" w:rsidRDefault="00A36960" w:rsidP="003419DD">
            <w:pPr>
              <w:ind w:left="100"/>
              <w:rPr>
                <w:sz w:val="18"/>
                <w:szCs w:val="18"/>
              </w:rPr>
            </w:pPr>
          </w:p>
        </w:tc>
        <w:tc>
          <w:tcPr>
            <w:tcW w:w="4080" w:type="dxa"/>
          </w:tcPr>
          <w:p w:rsidR="00A36960" w:rsidRPr="00931158" w:rsidRDefault="00A36960" w:rsidP="003419DD">
            <w:pPr>
              <w:ind w:left="100"/>
              <w:rPr>
                <w:sz w:val="18"/>
                <w:szCs w:val="18"/>
              </w:rPr>
            </w:pPr>
          </w:p>
        </w:tc>
      </w:tr>
      <w:tr w:rsidR="00A36960" w:rsidRPr="00931158" w:rsidTr="007F7285">
        <w:tc>
          <w:tcPr>
            <w:tcW w:w="3510" w:type="dxa"/>
            <w:gridSpan w:val="2"/>
            <w:shd w:val="clear" w:color="auto" w:fill="auto"/>
          </w:tcPr>
          <w:p w:rsidR="00A36960" w:rsidRPr="00931158" w:rsidRDefault="007F7285" w:rsidP="007F7285">
            <w:pPr>
              <w:ind w:left="100"/>
              <w:jc w:val="center"/>
              <w:rPr>
                <w:b/>
                <w:sz w:val="18"/>
                <w:szCs w:val="18"/>
              </w:rPr>
            </w:pPr>
            <w:r w:rsidRPr="00931158">
              <w:rPr>
                <w:sz w:val="18"/>
                <w:szCs w:val="18"/>
              </w:rPr>
              <w:t xml:space="preserve">     </w:t>
            </w:r>
            <w:r w:rsidRPr="00931158">
              <w:rPr>
                <w:b/>
                <w:sz w:val="18"/>
                <w:szCs w:val="18"/>
              </w:rPr>
              <w:t xml:space="preserve"> Attaché</w:t>
            </w:r>
          </w:p>
        </w:tc>
        <w:tc>
          <w:tcPr>
            <w:tcW w:w="1985" w:type="dxa"/>
            <w:shd w:val="clear" w:color="auto" w:fill="auto"/>
          </w:tcPr>
          <w:p w:rsidR="00A36960" w:rsidRPr="00931158" w:rsidRDefault="00A36960" w:rsidP="003419DD">
            <w:pPr>
              <w:ind w:left="100"/>
              <w:rPr>
                <w:sz w:val="18"/>
                <w:szCs w:val="18"/>
              </w:rPr>
            </w:pPr>
          </w:p>
        </w:tc>
        <w:tc>
          <w:tcPr>
            <w:tcW w:w="4080" w:type="dxa"/>
          </w:tcPr>
          <w:p w:rsidR="00A36960" w:rsidRPr="00931158" w:rsidRDefault="00A36960" w:rsidP="003419DD">
            <w:pPr>
              <w:ind w:left="100"/>
              <w:rPr>
                <w:sz w:val="18"/>
                <w:szCs w:val="18"/>
              </w:rPr>
            </w:pPr>
          </w:p>
        </w:tc>
      </w:tr>
      <w:tr w:rsidR="00A36960" w:rsidRPr="00931158" w:rsidTr="007F7285">
        <w:tc>
          <w:tcPr>
            <w:tcW w:w="3510" w:type="dxa"/>
            <w:gridSpan w:val="2"/>
            <w:shd w:val="clear" w:color="auto" w:fill="auto"/>
          </w:tcPr>
          <w:p w:rsidR="00A36960" w:rsidRPr="00931158" w:rsidRDefault="00A36960" w:rsidP="003419DD">
            <w:pPr>
              <w:ind w:left="100"/>
              <w:rPr>
                <w:sz w:val="18"/>
                <w:szCs w:val="18"/>
              </w:rPr>
            </w:pPr>
            <w:r w:rsidRPr="00931158">
              <w:rPr>
                <w:b/>
                <w:sz w:val="18"/>
                <w:szCs w:val="18"/>
              </w:rPr>
              <w:t xml:space="preserve">Tel : </w:t>
            </w:r>
            <w:r w:rsidRPr="00931158">
              <w:rPr>
                <w:sz w:val="18"/>
                <w:szCs w:val="18"/>
              </w:rPr>
              <w:t>02</w:t>
            </w:r>
            <w:r w:rsidR="00981BAF" w:rsidRPr="00931158">
              <w:rPr>
                <w:sz w:val="18"/>
                <w:szCs w:val="18"/>
              </w:rPr>
              <w:t>/</w:t>
            </w:r>
            <w:r w:rsidRPr="00931158">
              <w:rPr>
                <w:sz w:val="18"/>
                <w:szCs w:val="18"/>
              </w:rPr>
              <w:t>739</w:t>
            </w:r>
            <w:r w:rsidR="00981BAF" w:rsidRPr="00931158">
              <w:rPr>
                <w:sz w:val="18"/>
                <w:szCs w:val="18"/>
              </w:rPr>
              <w:t>.</w:t>
            </w:r>
            <w:r w:rsidR="007F7285" w:rsidRPr="00931158">
              <w:rPr>
                <w:sz w:val="18"/>
                <w:szCs w:val="18"/>
              </w:rPr>
              <w:t>73.90</w:t>
            </w:r>
          </w:p>
        </w:tc>
        <w:tc>
          <w:tcPr>
            <w:tcW w:w="1985" w:type="dxa"/>
            <w:shd w:val="clear" w:color="auto" w:fill="auto"/>
          </w:tcPr>
          <w:p w:rsidR="00A36960" w:rsidRPr="00931158" w:rsidRDefault="00A36960" w:rsidP="003419DD">
            <w:pPr>
              <w:ind w:left="100"/>
              <w:rPr>
                <w:b/>
                <w:sz w:val="18"/>
                <w:szCs w:val="18"/>
              </w:rPr>
            </w:pPr>
            <w:r w:rsidRPr="00931158">
              <w:rPr>
                <w:b/>
                <w:sz w:val="18"/>
                <w:szCs w:val="18"/>
              </w:rPr>
              <w:t xml:space="preserve">Fax : </w:t>
            </w:r>
            <w:r w:rsidRPr="00931158">
              <w:rPr>
                <w:sz w:val="18"/>
                <w:szCs w:val="18"/>
              </w:rPr>
              <w:t>02</w:t>
            </w:r>
            <w:r w:rsidR="00981BAF" w:rsidRPr="00931158">
              <w:rPr>
                <w:sz w:val="18"/>
                <w:szCs w:val="18"/>
              </w:rPr>
              <w:t>/</w:t>
            </w:r>
            <w:r w:rsidRPr="00931158">
              <w:rPr>
                <w:sz w:val="18"/>
                <w:szCs w:val="18"/>
              </w:rPr>
              <w:t>739</w:t>
            </w:r>
            <w:r w:rsidR="00981BAF" w:rsidRPr="00931158">
              <w:rPr>
                <w:sz w:val="18"/>
                <w:szCs w:val="18"/>
              </w:rPr>
              <w:t>.</w:t>
            </w:r>
            <w:r w:rsidRPr="00931158">
              <w:rPr>
                <w:sz w:val="18"/>
                <w:szCs w:val="18"/>
              </w:rPr>
              <w:t>73</w:t>
            </w:r>
            <w:r w:rsidR="00981BAF" w:rsidRPr="00931158">
              <w:rPr>
                <w:sz w:val="18"/>
                <w:szCs w:val="18"/>
              </w:rPr>
              <w:t>.</w:t>
            </w:r>
            <w:r w:rsidRPr="00931158">
              <w:rPr>
                <w:sz w:val="18"/>
                <w:szCs w:val="18"/>
              </w:rPr>
              <w:t>52</w:t>
            </w:r>
          </w:p>
        </w:tc>
        <w:tc>
          <w:tcPr>
            <w:tcW w:w="4080" w:type="dxa"/>
          </w:tcPr>
          <w:p w:rsidR="00A36960" w:rsidRPr="00931158" w:rsidRDefault="00A36960" w:rsidP="003419DD">
            <w:pPr>
              <w:ind w:left="100"/>
              <w:rPr>
                <w:sz w:val="18"/>
                <w:szCs w:val="18"/>
              </w:rPr>
            </w:pPr>
          </w:p>
        </w:tc>
      </w:tr>
      <w:tr w:rsidR="00A36960" w:rsidRPr="00931158" w:rsidTr="007F7285">
        <w:tc>
          <w:tcPr>
            <w:tcW w:w="5495" w:type="dxa"/>
            <w:gridSpan w:val="3"/>
            <w:shd w:val="clear" w:color="auto" w:fill="auto"/>
          </w:tcPr>
          <w:p w:rsidR="00A36960" w:rsidRPr="00931158" w:rsidRDefault="00A36960" w:rsidP="003419DD">
            <w:pPr>
              <w:ind w:left="100"/>
              <w:rPr>
                <w:sz w:val="18"/>
                <w:szCs w:val="18"/>
                <w:lang w:val="de-DE"/>
              </w:rPr>
            </w:pPr>
            <w:proofErr w:type="spellStart"/>
            <w:r w:rsidRPr="00931158">
              <w:rPr>
                <w:b/>
                <w:sz w:val="18"/>
                <w:szCs w:val="18"/>
                <w:lang w:val="de-DE"/>
              </w:rPr>
              <w:t>E-mail</w:t>
            </w:r>
            <w:proofErr w:type="spellEnd"/>
            <w:r w:rsidRPr="00931158">
              <w:rPr>
                <w:b/>
                <w:sz w:val="18"/>
                <w:szCs w:val="18"/>
                <w:lang w:val="de-DE"/>
              </w:rPr>
              <w:t xml:space="preserve"> : </w:t>
            </w:r>
            <w:r w:rsidR="007F7285" w:rsidRPr="00931158">
              <w:rPr>
                <w:sz w:val="18"/>
                <w:szCs w:val="18"/>
                <w:lang w:val="de-DE"/>
              </w:rPr>
              <w:t>celine.franken</w:t>
            </w:r>
            <w:r w:rsidR="00E93731" w:rsidRPr="00931158">
              <w:rPr>
                <w:sz w:val="18"/>
                <w:szCs w:val="18"/>
                <w:lang w:val="de-DE"/>
              </w:rPr>
              <w:t>@inami.fgov.be</w:t>
            </w:r>
          </w:p>
        </w:tc>
        <w:tc>
          <w:tcPr>
            <w:tcW w:w="4080" w:type="dxa"/>
          </w:tcPr>
          <w:p w:rsidR="00A36960" w:rsidRPr="00931158" w:rsidRDefault="00A36960" w:rsidP="003419DD">
            <w:pPr>
              <w:ind w:left="100"/>
              <w:rPr>
                <w:sz w:val="18"/>
                <w:szCs w:val="18"/>
                <w:lang w:val="de-DE"/>
              </w:rPr>
            </w:pPr>
          </w:p>
        </w:tc>
      </w:tr>
      <w:tr w:rsidR="00A36960" w:rsidRPr="00931158" w:rsidTr="007F7285">
        <w:tc>
          <w:tcPr>
            <w:tcW w:w="2093" w:type="dxa"/>
            <w:shd w:val="clear" w:color="auto" w:fill="auto"/>
          </w:tcPr>
          <w:p w:rsidR="00A36960" w:rsidRPr="00931158" w:rsidRDefault="00A36960" w:rsidP="003419DD">
            <w:pPr>
              <w:ind w:left="100"/>
              <w:rPr>
                <w:b/>
                <w:sz w:val="18"/>
                <w:szCs w:val="18"/>
              </w:rPr>
            </w:pPr>
            <w:r w:rsidRPr="00931158">
              <w:rPr>
                <w:b/>
                <w:sz w:val="18"/>
                <w:szCs w:val="18"/>
              </w:rPr>
              <w:t xml:space="preserve">Nos réf : </w:t>
            </w:r>
            <w:r w:rsidR="007F7285" w:rsidRPr="00931158">
              <w:rPr>
                <w:b/>
                <w:sz w:val="18"/>
                <w:szCs w:val="18"/>
              </w:rPr>
              <w:t>1830/2016/</w:t>
            </w:r>
          </w:p>
        </w:tc>
        <w:tc>
          <w:tcPr>
            <w:tcW w:w="3402" w:type="dxa"/>
            <w:gridSpan w:val="2"/>
            <w:shd w:val="clear" w:color="auto" w:fill="auto"/>
          </w:tcPr>
          <w:p w:rsidR="00A36960" w:rsidRPr="00931158" w:rsidRDefault="00A36960" w:rsidP="003419DD">
            <w:pPr>
              <w:ind w:left="100"/>
              <w:rPr>
                <w:sz w:val="18"/>
                <w:szCs w:val="18"/>
              </w:rPr>
            </w:pPr>
          </w:p>
        </w:tc>
        <w:tc>
          <w:tcPr>
            <w:tcW w:w="4080" w:type="dxa"/>
          </w:tcPr>
          <w:p w:rsidR="00A36960" w:rsidRPr="00931158" w:rsidRDefault="00FA037F" w:rsidP="007F7285">
            <w:pPr>
              <w:rPr>
                <w:b/>
                <w:sz w:val="18"/>
                <w:szCs w:val="18"/>
              </w:rPr>
            </w:pPr>
            <w:r w:rsidRPr="00931158">
              <w:rPr>
                <w:b/>
                <w:sz w:val="18"/>
                <w:szCs w:val="18"/>
              </w:rPr>
              <w:t xml:space="preserve">Bruxelles, le </w:t>
            </w:r>
          </w:p>
        </w:tc>
      </w:tr>
    </w:tbl>
    <w:p w:rsidR="00DE371E" w:rsidRPr="00931158" w:rsidRDefault="00DE371E" w:rsidP="00A95146"/>
    <w:p w:rsidR="00594076" w:rsidRPr="00931158" w:rsidRDefault="00594076" w:rsidP="00A95146"/>
    <w:p w:rsidR="00594076" w:rsidRPr="00931158" w:rsidRDefault="007F7285" w:rsidP="005D6A0E">
      <w:pPr>
        <w:jc w:val="both"/>
        <w:rPr>
          <w:rFonts w:asciiTheme="minorHAnsi" w:hAnsiTheme="minorHAnsi"/>
        </w:rPr>
      </w:pPr>
      <w:r w:rsidRPr="00931158">
        <w:rPr>
          <w:rFonts w:asciiTheme="minorHAnsi" w:hAnsiTheme="minorHAnsi"/>
        </w:rPr>
        <w:t>Chère Madame,</w:t>
      </w:r>
    </w:p>
    <w:p w:rsidR="007F7285" w:rsidRPr="00931158" w:rsidRDefault="007F7285" w:rsidP="005D6A0E">
      <w:pPr>
        <w:jc w:val="both"/>
        <w:rPr>
          <w:rFonts w:asciiTheme="minorHAnsi" w:hAnsiTheme="minorHAnsi"/>
        </w:rPr>
      </w:pPr>
      <w:r w:rsidRPr="00931158">
        <w:rPr>
          <w:rFonts w:asciiTheme="minorHAnsi" w:hAnsiTheme="minorHAnsi"/>
        </w:rPr>
        <w:t>Cher Monsieur,</w:t>
      </w:r>
    </w:p>
    <w:p w:rsidR="007F7285" w:rsidRPr="00931158" w:rsidRDefault="007F7285" w:rsidP="005D6A0E">
      <w:pPr>
        <w:jc w:val="both"/>
        <w:rPr>
          <w:rFonts w:asciiTheme="minorHAnsi" w:hAnsiTheme="minorHAnsi"/>
        </w:rPr>
      </w:pPr>
    </w:p>
    <w:p w:rsidR="007F7285" w:rsidRPr="00931158" w:rsidRDefault="007F7285" w:rsidP="005D6A0E">
      <w:pPr>
        <w:jc w:val="both"/>
        <w:rPr>
          <w:rFonts w:asciiTheme="minorHAnsi" w:hAnsiTheme="minorHAnsi"/>
          <w:b/>
        </w:rPr>
      </w:pPr>
      <w:r w:rsidRPr="00931158">
        <w:rPr>
          <w:rFonts w:asciiTheme="minorHAnsi" w:hAnsiTheme="minorHAnsi"/>
          <w:b/>
        </w:rPr>
        <w:t xml:space="preserve">Concerne : Suppression du passeport du diabète – </w:t>
      </w:r>
      <w:r w:rsidR="00DB63BB" w:rsidRPr="00931158">
        <w:rPr>
          <w:rFonts w:asciiTheme="minorHAnsi" w:hAnsiTheme="minorHAnsi"/>
          <w:b/>
        </w:rPr>
        <w:t>Conséquences</w:t>
      </w:r>
      <w:r w:rsidRPr="00931158">
        <w:rPr>
          <w:rFonts w:asciiTheme="minorHAnsi" w:hAnsiTheme="minorHAnsi"/>
          <w:b/>
        </w:rPr>
        <w:t xml:space="preserve"> pour vous en tant que diététicien</w:t>
      </w:r>
    </w:p>
    <w:p w:rsidR="00594076" w:rsidRPr="00931158" w:rsidRDefault="00594076" w:rsidP="005D6A0E">
      <w:pPr>
        <w:jc w:val="both"/>
        <w:rPr>
          <w:rFonts w:asciiTheme="minorHAnsi" w:hAnsiTheme="minorHAnsi"/>
        </w:rPr>
      </w:pPr>
    </w:p>
    <w:p w:rsidR="00594076" w:rsidRPr="00931158" w:rsidRDefault="005D6A0E" w:rsidP="005D6A0E">
      <w:pPr>
        <w:jc w:val="both"/>
        <w:rPr>
          <w:rFonts w:asciiTheme="minorHAnsi" w:hAnsiTheme="minorHAnsi"/>
        </w:rPr>
      </w:pPr>
      <w:r w:rsidRPr="00931158">
        <w:rPr>
          <w:rFonts w:asciiTheme="minorHAnsi" w:hAnsiTheme="minorHAnsi"/>
        </w:rPr>
        <w:t>Le 1</w:t>
      </w:r>
      <w:r w:rsidRPr="00931158">
        <w:rPr>
          <w:rFonts w:asciiTheme="minorHAnsi" w:hAnsiTheme="minorHAnsi"/>
          <w:vertAlign w:val="superscript"/>
        </w:rPr>
        <w:t>er</w:t>
      </w:r>
      <w:r w:rsidRPr="00931158">
        <w:rPr>
          <w:rFonts w:asciiTheme="minorHAnsi" w:hAnsiTheme="minorHAnsi"/>
        </w:rPr>
        <w:t xml:space="preserve"> février 2016 entrait en vigueur le « pré-trajet diabète ». Il s’agit d’un modèle de soins pour les patients diabétiques de type 2 dans lequel le médecin généraliste suit le patient et pour lequel il porte annuellement en compte la prestation de la nomenclature 102852. Cette règlementation entre en vigueur </w:t>
      </w:r>
      <w:r w:rsidR="00BB1AE0" w:rsidRPr="00931158">
        <w:rPr>
          <w:rFonts w:asciiTheme="minorHAnsi" w:hAnsiTheme="minorHAnsi"/>
        </w:rPr>
        <w:t>en lieu et place</w:t>
      </w:r>
      <w:r w:rsidRPr="00931158">
        <w:rPr>
          <w:rFonts w:asciiTheme="minorHAnsi" w:hAnsiTheme="minorHAnsi"/>
        </w:rPr>
        <w:t xml:space="preserve"> de la règlementation antérieure relative au passeport du diabète. A partir du 1</w:t>
      </w:r>
      <w:r w:rsidRPr="00931158">
        <w:rPr>
          <w:rFonts w:asciiTheme="minorHAnsi" w:hAnsiTheme="minorHAnsi"/>
          <w:vertAlign w:val="superscript"/>
        </w:rPr>
        <w:t>er</w:t>
      </w:r>
      <w:r w:rsidRPr="00931158">
        <w:rPr>
          <w:rFonts w:asciiTheme="minorHAnsi" w:hAnsiTheme="minorHAnsi"/>
        </w:rPr>
        <w:t xml:space="preserve"> février 2016, plus aucun nouveau passeport du diabète ne sera délivré.</w:t>
      </w:r>
    </w:p>
    <w:p w:rsidR="005D6A0E" w:rsidRPr="00931158" w:rsidRDefault="005D6A0E" w:rsidP="005D6A0E">
      <w:pPr>
        <w:jc w:val="both"/>
        <w:rPr>
          <w:rFonts w:asciiTheme="minorHAnsi" w:hAnsiTheme="minorHAnsi"/>
        </w:rPr>
      </w:pPr>
    </w:p>
    <w:p w:rsidR="005D6A0E" w:rsidRPr="00931158" w:rsidRDefault="005D6A0E" w:rsidP="005D6A0E">
      <w:pPr>
        <w:jc w:val="both"/>
        <w:rPr>
          <w:rFonts w:asciiTheme="minorHAnsi" w:hAnsiTheme="minorHAnsi"/>
        </w:rPr>
      </w:pPr>
      <w:r w:rsidRPr="00931158">
        <w:rPr>
          <w:rFonts w:asciiTheme="minorHAnsi" w:hAnsiTheme="minorHAnsi"/>
        </w:rPr>
        <w:t xml:space="preserve">Cela a des conséquences en ce qui concerne la prestation 771131 que vous pouvez porter en compte  dans le cadre de la nomenclature des prestations de rééducation pour les patients diabétiques </w:t>
      </w:r>
      <w:r w:rsidRPr="00931158">
        <w:rPr>
          <w:rFonts w:asciiTheme="minorHAnsi" w:hAnsiTheme="minorHAnsi"/>
          <w:b/>
        </w:rPr>
        <w:t>qui n’ont pas signé</w:t>
      </w:r>
      <w:r w:rsidRPr="00931158">
        <w:rPr>
          <w:rFonts w:asciiTheme="minorHAnsi" w:hAnsiTheme="minorHAnsi"/>
        </w:rPr>
        <w:t xml:space="preserve"> de contrat trajet de soins. </w:t>
      </w:r>
    </w:p>
    <w:p w:rsidR="005D6A0E" w:rsidRPr="00931158" w:rsidRDefault="005D6A0E" w:rsidP="005D6A0E">
      <w:pPr>
        <w:jc w:val="both"/>
        <w:rPr>
          <w:rFonts w:asciiTheme="minorHAnsi" w:hAnsiTheme="minorHAnsi"/>
        </w:rPr>
      </w:pPr>
    </w:p>
    <w:p w:rsidR="005D6A0E" w:rsidRPr="00931158" w:rsidRDefault="005D6A0E" w:rsidP="005D6A0E">
      <w:pPr>
        <w:pStyle w:val="Paragraphedeliste"/>
        <w:numPr>
          <w:ilvl w:val="0"/>
          <w:numId w:val="1"/>
        </w:numPr>
        <w:jc w:val="both"/>
        <w:rPr>
          <w:rFonts w:asciiTheme="minorHAnsi" w:hAnsiTheme="minorHAnsi"/>
        </w:rPr>
      </w:pPr>
      <w:r w:rsidRPr="00931158">
        <w:rPr>
          <w:rFonts w:asciiTheme="minorHAnsi" w:hAnsiTheme="minorHAnsi"/>
        </w:rPr>
        <w:t>Le rembou</w:t>
      </w:r>
      <w:r w:rsidR="00320611" w:rsidRPr="00931158">
        <w:rPr>
          <w:rFonts w:asciiTheme="minorHAnsi" w:hAnsiTheme="minorHAnsi"/>
        </w:rPr>
        <w:t>rsement de cette prestation 77131</w:t>
      </w:r>
      <w:r w:rsidRPr="00931158">
        <w:rPr>
          <w:rFonts w:asciiTheme="minorHAnsi" w:hAnsiTheme="minorHAnsi"/>
        </w:rPr>
        <w:t xml:space="preserve"> reste possible pour les patients sans contrat trajet de soins si le médecin généraliste qui gère le Dossier Médical Global (DMG) du patient ou un médecin qui fait partie d’un groupement enregistré de médecins généralistes dont un membre gère le DMG, a porté en compte pour ces patients la prestation 102852 ;</w:t>
      </w:r>
    </w:p>
    <w:p w:rsidR="00571CFA" w:rsidRPr="00931158" w:rsidRDefault="00571CFA" w:rsidP="005D6A0E">
      <w:pPr>
        <w:pStyle w:val="Paragraphedeliste"/>
        <w:numPr>
          <w:ilvl w:val="0"/>
          <w:numId w:val="1"/>
        </w:numPr>
        <w:jc w:val="both"/>
        <w:rPr>
          <w:rFonts w:asciiTheme="minorHAnsi" w:hAnsiTheme="minorHAnsi"/>
        </w:rPr>
      </w:pPr>
      <w:r w:rsidRPr="00931158">
        <w:rPr>
          <w:rFonts w:asciiTheme="minorHAnsi" w:hAnsiTheme="minorHAnsi"/>
        </w:rPr>
        <w:t xml:space="preserve">La prescription pour la prestation 771131 doit être </w:t>
      </w:r>
      <w:r w:rsidR="00DB63BB" w:rsidRPr="00931158">
        <w:rPr>
          <w:rFonts w:asciiTheme="minorHAnsi" w:hAnsiTheme="minorHAnsi"/>
        </w:rPr>
        <w:t xml:space="preserve">rédigée </w:t>
      </w:r>
      <w:r w:rsidRPr="00931158">
        <w:rPr>
          <w:rFonts w:asciiTheme="minorHAnsi" w:hAnsiTheme="minorHAnsi"/>
        </w:rPr>
        <w:t>par le médecin généraliste qui gère le DMG ou un médecin qui fait partie d’un groupement enregistré de médecins généralistes dont un membre gère le DMG ;</w:t>
      </w:r>
    </w:p>
    <w:p w:rsidR="005D6A0E" w:rsidRPr="00931158" w:rsidRDefault="00571CFA" w:rsidP="005D6A0E">
      <w:pPr>
        <w:pStyle w:val="Paragraphedeliste"/>
        <w:numPr>
          <w:ilvl w:val="0"/>
          <w:numId w:val="1"/>
        </w:numPr>
        <w:jc w:val="both"/>
        <w:rPr>
          <w:rFonts w:asciiTheme="minorHAnsi" w:hAnsiTheme="minorHAnsi"/>
        </w:rPr>
      </w:pPr>
      <w:r w:rsidRPr="00931158">
        <w:rPr>
          <w:rFonts w:asciiTheme="minorHAnsi" w:hAnsiTheme="minorHAnsi"/>
        </w:rPr>
        <w:t>Vous ne pouvez en tant que diététicien pas contrôler si la prescription a été réalisée par un médecin compétent pour le faire et vous ne pouvez pas contrôler non plus si votre patient est suivi dans le cadre du modèle de soins correspondant à la prestation de la nomenclature 102852. En cas de doute, vous pouvez éventuellement contacter le médecin généraliste concerné ;</w:t>
      </w:r>
    </w:p>
    <w:p w:rsidR="00571CFA" w:rsidRPr="00931158" w:rsidRDefault="00571CFA" w:rsidP="005D6A0E">
      <w:pPr>
        <w:pStyle w:val="Paragraphedeliste"/>
        <w:numPr>
          <w:ilvl w:val="0"/>
          <w:numId w:val="1"/>
        </w:numPr>
        <w:jc w:val="both"/>
        <w:rPr>
          <w:rFonts w:asciiTheme="minorHAnsi" w:hAnsiTheme="minorHAnsi"/>
        </w:rPr>
      </w:pPr>
      <w:r w:rsidRPr="00931158">
        <w:rPr>
          <w:rFonts w:asciiTheme="minorHAnsi" w:hAnsiTheme="minorHAnsi"/>
        </w:rPr>
        <w:t xml:space="preserve">La prescription </w:t>
      </w:r>
      <w:r w:rsidR="00DB63BB" w:rsidRPr="00931158">
        <w:rPr>
          <w:rFonts w:asciiTheme="minorHAnsi" w:hAnsiTheme="minorHAnsi"/>
        </w:rPr>
        <w:t>peut</w:t>
      </w:r>
      <w:r w:rsidRPr="00931158">
        <w:rPr>
          <w:rFonts w:asciiTheme="minorHAnsi" w:hAnsiTheme="minorHAnsi"/>
        </w:rPr>
        <w:t xml:space="preserve"> être </w:t>
      </w:r>
      <w:r w:rsidR="00DB63BB" w:rsidRPr="00931158">
        <w:rPr>
          <w:rFonts w:asciiTheme="minorHAnsi" w:hAnsiTheme="minorHAnsi"/>
        </w:rPr>
        <w:t>rédigée</w:t>
      </w:r>
      <w:r w:rsidRPr="00931158">
        <w:rPr>
          <w:rFonts w:asciiTheme="minorHAnsi" w:hAnsiTheme="minorHAnsi"/>
        </w:rPr>
        <w:t xml:space="preserve"> à partir de la date à laquelle la prestation 102852 a été portée en compte ou au plus tard le 31 décembre de l’année civile qui suit ; le médecin généraliste peut fixer les objectifs des pres</w:t>
      </w:r>
      <w:r w:rsidR="008E25DF" w:rsidRPr="00931158">
        <w:rPr>
          <w:rFonts w:asciiTheme="minorHAnsi" w:hAnsiTheme="minorHAnsi"/>
        </w:rPr>
        <w:t>tations diététiques prescrites. Tout comme dans le passé, il n’existe pas de modèle pour la prescription des prestations de diététique. Chaque médecin génér</w:t>
      </w:r>
      <w:r w:rsidR="0034151E" w:rsidRPr="00931158">
        <w:rPr>
          <w:rFonts w:asciiTheme="minorHAnsi" w:hAnsiTheme="minorHAnsi"/>
        </w:rPr>
        <w:t>aliste compétent</w:t>
      </w:r>
      <w:r w:rsidR="008E25DF" w:rsidRPr="00931158">
        <w:rPr>
          <w:rFonts w:asciiTheme="minorHAnsi" w:hAnsiTheme="minorHAnsi"/>
        </w:rPr>
        <w:t xml:space="preserve"> peut réaliser la prescription comme bon lui semble ;</w:t>
      </w:r>
    </w:p>
    <w:p w:rsidR="008E25DF" w:rsidRPr="00931158" w:rsidRDefault="008E25DF" w:rsidP="005D6A0E">
      <w:pPr>
        <w:pStyle w:val="Paragraphedeliste"/>
        <w:numPr>
          <w:ilvl w:val="0"/>
          <w:numId w:val="1"/>
        </w:numPr>
        <w:jc w:val="both"/>
        <w:rPr>
          <w:rFonts w:asciiTheme="minorHAnsi" w:hAnsiTheme="minorHAnsi"/>
        </w:rPr>
      </w:pPr>
      <w:r w:rsidRPr="00931158">
        <w:rPr>
          <w:rFonts w:asciiTheme="minorHAnsi" w:hAnsiTheme="minorHAnsi"/>
        </w:rPr>
        <w:t>Vous devez encore toujours</w:t>
      </w:r>
      <w:r w:rsidR="00BB1AE0" w:rsidRPr="00931158">
        <w:rPr>
          <w:rFonts w:asciiTheme="minorHAnsi" w:hAnsiTheme="minorHAnsi"/>
        </w:rPr>
        <w:t>,</w:t>
      </w:r>
      <w:r w:rsidRPr="00931158">
        <w:rPr>
          <w:rFonts w:asciiTheme="minorHAnsi" w:hAnsiTheme="minorHAnsi"/>
        </w:rPr>
        <w:t xml:space="preserve"> pour chaque patient</w:t>
      </w:r>
      <w:r w:rsidR="00BB1AE0" w:rsidRPr="00931158">
        <w:rPr>
          <w:rFonts w:asciiTheme="minorHAnsi" w:hAnsiTheme="minorHAnsi"/>
        </w:rPr>
        <w:t>,</w:t>
      </w:r>
      <w:r w:rsidRPr="00931158">
        <w:rPr>
          <w:rFonts w:asciiTheme="minorHAnsi" w:hAnsiTheme="minorHAnsi"/>
        </w:rPr>
        <w:t xml:space="preserve"> tenir à jour un dossier de nutrition ;</w:t>
      </w:r>
    </w:p>
    <w:p w:rsidR="00571CFA" w:rsidRPr="00931158" w:rsidRDefault="008E25DF" w:rsidP="008E25DF">
      <w:pPr>
        <w:pStyle w:val="Paragraphedeliste"/>
        <w:numPr>
          <w:ilvl w:val="0"/>
          <w:numId w:val="1"/>
        </w:numPr>
        <w:jc w:val="both"/>
        <w:rPr>
          <w:rFonts w:asciiTheme="minorHAnsi" w:hAnsiTheme="minorHAnsi"/>
        </w:rPr>
      </w:pPr>
      <w:r w:rsidRPr="00931158">
        <w:rPr>
          <w:rFonts w:asciiTheme="minorHAnsi" w:hAnsiTheme="minorHAnsi"/>
        </w:rPr>
        <w:t>Vous devez toujours faire rapport écrit au médecin prescripteur annuellement.</w:t>
      </w:r>
    </w:p>
    <w:p w:rsidR="008E25DF" w:rsidRPr="00931158" w:rsidRDefault="008E25DF" w:rsidP="008E25DF">
      <w:pPr>
        <w:jc w:val="both"/>
        <w:rPr>
          <w:rFonts w:asciiTheme="minorHAnsi" w:hAnsiTheme="minorHAnsi"/>
        </w:rPr>
      </w:pPr>
    </w:p>
    <w:p w:rsidR="008E25DF" w:rsidRPr="00931158" w:rsidRDefault="008E25DF" w:rsidP="008E25DF">
      <w:pPr>
        <w:jc w:val="both"/>
        <w:rPr>
          <w:rFonts w:asciiTheme="minorHAnsi" w:hAnsiTheme="minorHAnsi"/>
        </w:rPr>
      </w:pPr>
      <w:r w:rsidRPr="00931158">
        <w:rPr>
          <w:rFonts w:asciiTheme="minorHAnsi" w:hAnsiTheme="minorHAnsi"/>
        </w:rPr>
        <w:t>Rien ne change pour les patients trajet de soins pour lesquels la prestation 794010 peut être portée en compte.</w:t>
      </w:r>
    </w:p>
    <w:p w:rsidR="008E25DF" w:rsidRPr="00931158" w:rsidRDefault="008E25DF" w:rsidP="008E25DF">
      <w:pPr>
        <w:jc w:val="both"/>
        <w:rPr>
          <w:rFonts w:asciiTheme="minorHAnsi" w:hAnsiTheme="minorHAnsi"/>
        </w:rPr>
      </w:pPr>
    </w:p>
    <w:p w:rsidR="008E25DF" w:rsidRPr="00931158" w:rsidRDefault="008E25DF" w:rsidP="008E25DF">
      <w:pPr>
        <w:jc w:val="both"/>
        <w:rPr>
          <w:rFonts w:asciiTheme="minorHAnsi" w:hAnsiTheme="minorHAnsi"/>
        </w:rPr>
      </w:pPr>
      <w:r w:rsidRPr="00931158">
        <w:rPr>
          <w:rFonts w:asciiTheme="minorHAnsi" w:hAnsiTheme="minorHAnsi"/>
        </w:rPr>
        <w:lastRenderedPageBreak/>
        <w:t>Le nombre de prestations remboursables (794010 et 771131 ensemble) ne change pas non plus : pour les patients diabétiques, il s’agit toujours de 2 prestations de diététique par année calendrier. Pour les patients  ayant conclu un contrat trajet de soins souffrant d’une insuffisance rénale chronique, il s’agit aussi de 2 prestations de diététique par année calendrier sauf pour les insuffisants rénaux qui se trouvent dans le stade 4 (3 prestations de diététique par année calendrier) ou au stade 5 (4 prestations de diététique par année calendrier).</w:t>
      </w:r>
    </w:p>
    <w:p w:rsidR="008E25DF" w:rsidRPr="00931158" w:rsidRDefault="008E25DF" w:rsidP="008E25DF">
      <w:pPr>
        <w:jc w:val="both"/>
        <w:rPr>
          <w:rFonts w:asciiTheme="minorHAnsi" w:hAnsiTheme="minorHAnsi"/>
        </w:rPr>
      </w:pPr>
    </w:p>
    <w:p w:rsidR="008E25DF" w:rsidRPr="00931158" w:rsidRDefault="008E25DF" w:rsidP="008E25DF">
      <w:pPr>
        <w:jc w:val="both"/>
        <w:rPr>
          <w:rFonts w:asciiTheme="minorHAnsi" w:hAnsiTheme="minorHAnsi"/>
        </w:rPr>
      </w:pPr>
      <w:r w:rsidRPr="00931158">
        <w:rPr>
          <w:rFonts w:asciiTheme="minorHAnsi" w:hAnsiTheme="minorHAnsi"/>
        </w:rPr>
        <w:t>La durée de chaque prestation (minimum 30 minutes) reste également la même, avec un maximum de 2 prestations de diététique pour un même patient par jour. Par prestat</w:t>
      </w:r>
      <w:r w:rsidR="00DF3C3B" w:rsidRPr="00931158">
        <w:rPr>
          <w:rFonts w:asciiTheme="minorHAnsi" w:hAnsiTheme="minorHAnsi"/>
        </w:rPr>
        <w:t>ion</w:t>
      </w:r>
      <w:r w:rsidR="008A3DD4" w:rsidRPr="00931158">
        <w:rPr>
          <w:rFonts w:asciiTheme="minorHAnsi" w:hAnsiTheme="minorHAnsi"/>
        </w:rPr>
        <w:t>,</w:t>
      </w:r>
      <w:r w:rsidR="00DF3C3B" w:rsidRPr="00931158">
        <w:rPr>
          <w:rFonts w:asciiTheme="minorHAnsi" w:hAnsiTheme="minorHAnsi"/>
        </w:rPr>
        <w:t xml:space="preserve"> vous ne pourrez jamais porter</w:t>
      </w:r>
      <w:r w:rsidRPr="00931158">
        <w:rPr>
          <w:rFonts w:asciiTheme="minorHAnsi" w:hAnsiTheme="minorHAnsi"/>
        </w:rPr>
        <w:t xml:space="preserve"> en compte plus que l’honoraire officiel qu</w:t>
      </w:r>
      <w:r w:rsidR="00DF3C3B" w:rsidRPr="00931158">
        <w:rPr>
          <w:rFonts w:asciiTheme="minorHAnsi" w:hAnsiTheme="minorHAnsi"/>
        </w:rPr>
        <w:t>i est de 19,50 € actuellement. Le principe selon lequel aucune prestation de diététique n’est remboursable pour les patients hospitalisés et pour les patients qui reçoivent des prestations de diététiques dans un autre cadre règlementaire est maintenu. Par conséquent, les patients qui sont entre autre suivis dans le cadre de la convention diabète avec les hôpitaux n’entrent pas en ligne de compte pour les prestations de diététique 794010 et 771131.</w:t>
      </w:r>
    </w:p>
    <w:p w:rsidR="00DF3C3B" w:rsidRPr="00931158" w:rsidRDefault="00DF3C3B" w:rsidP="008E25DF">
      <w:pPr>
        <w:jc w:val="both"/>
        <w:rPr>
          <w:rFonts w:asciiTheme="minorHAnsi" w:hAnsiTheme="minorHAnsi"/>
        </w:rPr>
      </w:pPr>
    </w:p>
    <w:p w:rsidR="00DF3C3B" w:rsidRPr="00931158" w:rsidRDefault="00DF3C3B" w:rsidP="008E25DF">
      <w:pPr>
        <w:jc w:val="both"/>
        <w:rPr>
          <w:rFonts w:asciiTheme="minorHAnsi" w:hAnsiTheme="minorHAnsi"/>
        </w:rPr>
      </w:pPr>
      <w:r w:rsidRPr="00931158">
        <w:rPr>
          <w:rFonts w:asciiTheme="minorHAnsi" w:hAnsiTheme="minorHAnsi"/>
        </w:rPr>
        <w:t>Pour porter en compte les prestations de diététique 794010 et 771131 pour lesquelles l’assurance intervient, vous devez (tout comme c’était le cas avant) rédiger une attestation de soins. Par la rédaction de cette attestation de soins, vous déclarez que la prestation attestée (794010 ou 771131) a été prescrite par un médecin généraliste et qu’il est satisfait aux conditions relatives au groupe cible</w:t>
      </w:r>
      <w:r w:rsidR="004345C0" w:rsidRPr="00931158">
        <w:rPr>
          <w:rStyle w:val="Appelnotedebasdep"/>
          <w:rFonts w:asciiTheme="minorHAnsi" w:hAnsiTheme="minorHAnsi"/>
        </w:rPr>
        <w:footnoteReference w:id="1"/>
      </w:r>
      <w:r w:rsidRPr="00931158">
        <w:rPr>
          <w:rFonts w:asciiTheme="minorHAnsi" w:hAnsiTheme="minorHAnsi"/>
        </w:rPr>
        <w:t xml:space="preserve"> de la prestation, à la durée de la prestation, à la tenue à jour d’un dossier de nutrition et aux rapports écrits annuels aux médecins prescripteurs. </w:t>
      </w:r>
    </w:p>
    <w:p w:rsidR="00594076" w:rsidRPr="00931158" w:rsidRDefault="00594076" w:rsidP="005D6A0E">
      <w:pPr>
        <w:jc w:val="both"/>
        <w:rPr>
          <w:rFonts w:asciiTheme="minorHAnsi" w:hAnsiTheme="minorHAnsi"/>
        </w:rPr>
      </w:pPr>
    </w:p>
    <w:p w:rsidR="00594076" w:rsidRPr="00931158" w:rsidRDefault="00DF3C3B" w:rsidP="005D6A0E">
      <w:pPr>
        <w:jc w:val="both"/>
        <w:rPr>
          <w:rFonts w:asciiTheme="minorHAnsi" w:hAnsiTheme="minorHAnsi"/>
        </w:rPr>
      </w:pPr>
      <w:r w:rsidRPr="00931158">
        <w:rPr>
          <w:rFonts w:asciiTheme="minorHAnsi" w:hAnsiTheme="minorHAnsi"/>
        </w:rPr>
        <w:t>Dans la nouvelle règlementation, des mesures transitoires sont également prévues pour les patients qui avai</w:t>
      </w:r>
      <w:r w:rsidR="00E93F90" w:rsidRPr="00931158">
        <w:rPr>
          <w:rFonts w:asciiTheme="minorHAnsi" w:hAnsiTheme="minorHAnsi"/>
        </w:rPr>
        <w:t>en</w:t>
      </w:r>
      <w:r w:rsidRPr="00931158">
        <w:rPr>
          <w:rFonts w:asciiTheme="minorHAnsi" w:hAnsiTheme="minorHAnsi"/>
        </w:rPr>
        <w:t>t déjà un passeport du diabète avant le 1</w:t>
      </w:r>
      <w:r w:rsidRPr="00931158">
        <w:rPr>
          <w:rFonts w:asciiTheme="minorHAnsi" w:hAnsiTheme="minorHAnsi"/>
          <w:vertAlign w:val="superscript"/>
        </w:rPr>
        <w:t>er</w:t>
      </w:r>
      <w:r w:rsidRPr="00931158">
        <w:rPr>
          <w:rFonts w:asciiTheme="minorHAnsi" w:hAnsiTheme="minorHAnsi"/>
        </w:rPr>
        <w:t xml:space="preserve"> février 2016 :</w:t>
      </w:r>
    </w:p>
    <w:p w:rsidR="00ED36E5" w:rsidRPr="00931158" w:rsidRDefault="00ED36E5" w:rsidP="00ED36E5">
      <w:pPr>
        <w:pStyle w:val="Paragraphedeliste"/>
        <w:numPr>
          <w:ilvl w:val="0"/>
          <w:numId w:val="1"/>
        </w:numPr>
        <w:jc w:val="both"/>
        <w:rPr>
          <w:rFonts w:asciiTheme="minorHAnsi" w:hAnsiTheme="minorHAnsi"/>
        </w:rPr>
      </w:pPr>
      <w:r w:rsidRPr="00931158">
        <w:rPr>
          <w:rFonts w:asciiTheme="minorHAnsi" w:hAnsiTheme="minorHAnsi"/>
        </w:rPr>
        <w:t xml:space="preserve">Ils maintiennent </w:t>
      </w:r>
      <w:r w:rsidR="00BB1AE0" w:rsidRPr="00931158">
        <w:rPr>
          <w:rFonts w:asciiTheme="minorHAnsi" w:hAnsiTheme="minorHAnsi"/>
        </w:rPr>
        <w:t xml:space="preserve">- </w:t>
      </w:r>
      <w:r w:rsidRPr="00931158">
        <w:rPr>
          <w:rFonts w:asciiTheme="minorHAnsi" w:hAnsiTheme="minorHAnsi"/>
        </w:rPr>
        <w:t>sur base de leur passeport du diabète</w:t>
      </w:r>
      <w:r w:rsidR="00BB1AE0" w:rsidRPr="00931158">
        <w:rPr>
          <w:rFonts w:asciiTheme="minorHAnsi" w:hAnsiTheme="minorHAnsi"/>
        </w:rPr>
        <w:t xml:space="preserve"> -</w:t>
      </w:r>
      <w:r w:rsidRPr="00931158">
        <w:rPr>
          <w:rFonts w:asciiTheme="minorHAnsi" w:hAnsiTheme="minorHAnsi"/>
        </w:rPr>
        <w:t xml:space="preserve"> un accès aux prestations de diététique jusqu’au 31/12/2017 ;</w:t>
      </w:r>
    </w:p>
    <w:p w:rsidR="00ED36E5" w:rsidRPr="00931158" w:rsidRDefault="00ED36E5" w:rsidP="00ED36E5">
      <w:pPr>
        <w:pStyle w:val="Paragraphedeliste"/>
        <w:numPr>
          <w:ilvl w:val="0"/>
          <w:numId w:val="1"/>
        </w:numPr>
        <w:jc w:val="both"/>
        <w:rPr>
          <w:rFonts w:asciiTheme="minorHAnsi" w:hAnsiTheme="minorHAnsi"/>
        </w:rPr>
      </w:pPr>
      <w:r w:rsidRPr="00931158">
        <w:rPr>
          <w:rFonts w:asciiTheme="minorHAnsi" w:hAnsiTheme="minorHAnsi"/>
        </w:rPr>
        <w:t>Afin qu’ils puissent encore avoir un accès aux prestations de diététique à partir du 01/01/2018, les médecins généralistes doivent, pour ces patients, avant cette date, basculer vers la règlementation de la nouvelle prestation de la nomenclature 102852 ;</w:t>
      </w:r>
    </w:p>
    <w:p w:rsidR="00ED36E5" w:rsidRPr="00931158" w:rsidRDefault="00ED36E5" w:rsidP="00ED36E5">
      <w:pPr>
        <w:pStyle w:val="Paragraphedeliste"/>
        <w:numPr>
          <w:ilvl w:val="0"/>
          <w:numId w:val="1"/>
        </w:numPr>
        <w:jc w:val="both"/>
        <w:rPr>
          <w:rFonts w:asciiTheme="minorHAnsi" w:hAnsiTheme="minorHAnsi"/>
        </w:rPr>
      </w:pPr>
      <w:r w:rsidRPr="00931158">
        <w:rPr>
          <w:rFonts w:asciiTheme="minorHAnsi" w:hAnsiTheme="minorHAnsi"/>
        </w:rPr>
        <w:t>Jusqu’au 31/12/2017, des prestations de diététique peuvent encore être prescrites pour ces patients avec un passeport du diabète par tous les médecins qui étaient compétents pour le faire dans le cadre de l’ancienne règlementation ; il s’agit d</w:t>
      </w:r>
      <w:r w:rsidR="00F23077" w:rsidRPr="00931158">
        <w:rPr>
          <w:rFonts w:asciiTheme="minorHAnsi" w:hAnsiTheme="minorHAnsi"/>
        </w:rPr>
        <w:t>u médecin généraliste ou du</w:t>
      </w:r>
      <w:r w:rsidRPr="00931158">
        <w:rPr>
          <w:rFonts w:asciiTheme="minorHAnsi" w:hAnsiTheme="minorHAnsi"/>
        </w:rPr>
        <w:t xml:space="preserve"> médecin traitant spécialiste en médecine interne ou en </w:t>
      </w:r>
      <w:proofErr w:type="spellStart"/>
      <w:r w:rsidRPr="00931158">
        <w:rPr>
          <w:rFonts w:asciiTheme="minorHAnsi" w:hAnsiTheme="minorHAnsi"/>
        </w:rPr>
        <w:t>endocrinodiabétologie</w:t>
      </w:r>
      <w:proofErr w:type="spellEnd"/>
      <w:r w:rsidRPr="00931158">
        <w:rPr>
          <w:rFonts w:asciiTheme="minorHAnsi" w:hAnsiTheme="minorHAnsi"/>
        </w:rPr>
        <w:t xml:space="preserve"> ou en pédiatrie.</w:t>
      </w:r>
    </w:p>
    <w:p w:rsidR="00DB63BB" w:rsidRPr="00931158" w:rsidRDefault="00DB63BB" w:rsidP="00931158">
      <w:pPr>
        <w:pStyle w:val="Paragraphedeliste"/>
        <w:numPr>
          <w:ilvl w:val="0"/>
          <w:numId w:val="1"/>
        </w:numPr>
        <w:jc w:val="both"/>
        <w:rPr>
          <w:rFonts w:asciiTheme="minorHAnsi" w:hAnsiTheme="minorHAnsi"/>
        </w:rPr>
      </w:pPr>
      <w:r w:rsidRPr="00931158">
        <w:rPr>
          <w:rFonts w:asciiTheme="minorHAnsi" w:hAnsiTheme="minorHAnsi"/>
        </w:rPr>
        <w:t>Les prescriptions rédigées avant le 0</w:t>
      </w:r>
      <w:r w:rsidR="00F15A7B" w:rsidRPr="00931158">
        <w:rPr>
          <w:rFonts w:asciiTheme="minorHAnsi" w:hAnsiTheme="minorHAnsi"/>
        </w:rPr>
        <w:t>1/</w:t>
      </w:r>
      <w:r w:rsidRPr="00931158">
        <w:rPr>
          <w:rFonts w:asciiTheme="minorHAnsi" w:hAnsiTheme="minorHAnsi"/>
        </w:rPr>
        <w:t>0</w:t>
      </w:r>
      <w:r w:rsidR="00F15A7B" w:rsidRPr="00931158">
        <w:rPr>
          <w:rFonts w:asciiTheme="minorHAnsi" w:hAnsiTheme="minorHAnsi"/>
        </w:rPr>
        <w:t>2/2016</w:t>
      </w:r>
      <w:r w:rsidRPr="00931158">
        <w:rPr>
          <w:rFonts w:asciiTheme="minorHAnsi" w:hAnsiTheme="minorHAnsi"/>
        </w:rPr>
        <w:t xml:space="preserve"> restent valables. Après le 31/12/2017, aucune prestation de diététique remboursable ne peut être réalisée pour les patients avec un passeport du diabète si ces patients ne sont pas suivis dans un autre cadre. </w:t>
      </w:r>
    </w:p>
    <w:p w:rsidR="00DB63BB" w:rsidRPr="00931158" w:rsidRDefault="00DB63BB" w:rsidP="00DB63BB">
      <w:pPr>
        <w:jc w:val="both"/>
        <w:rPr>
          <w:rFonts w:asciiTheme="minorHAnsi" w:hAnsiTheme="minorHAnsi"/>
        </w:rPr>
      </w:pPr>
    </w:p>
    <w:p w:rsidR="00ED36E5" w:rsidRPr="00931158" w:rsidRDefault="00ED36E5" w:rsidP="00DB63BB">
      <w:pPr>
        <w:jc w:val="both"/>
        <w:rPr>
          <w:rFonts w:asciiTheme="minorHAnsi" w:hAnsiTheme="minorHAnsi"/>
        </w:rPr>
      </w:pPr>
      <w:r w:rsidRPr="00931158">
        <w:rPr>
          <w:rFonts w:asciiTheme="minorHAnsi" w:hAnsiTheme="minorHAnsi"/>
        </w:rPr>
        <w:t>Le médecin généraliste peut porter en compte la nouvelle prestation nomenclature 102852 pour chaque patient diabétique qui souffre de diabète de type II et pour lequel il gère le dossier médical global</w:t>
      </w:r>
      <w:r w:rsidR="00F23077" w:rsidRPr="00931158">
        <w:rPr>
          <w:rFonts w:asciiTheme="minorHAnsi" w:hAnsiTheme="minorHAnsi"/>
        </w:rPr>
        <w:t> ;</w:t>
      </w:r>
      <w:r w:rsidRPr="00931158">
        <w:rPr>
          <w:rFonts w:asciiTheme="minorHAnsi" w:hAnsiTheme="minorHAnsi"/>
        </w:rPr>
        <w:t xml:space="preserve"> sauf s’il s’agit d’un patient qui est suivi dans le cadre des trajets de soins diabète ou dans le cadre de la convention diabète conclue avec les hôpitaux. Il est attendu que les médecins généraliste</w:t>
      </w:r>
      <w:r w:rsidR="008E4C48" w:rsidRPr="00931158">
        <w:rPr>
          <w:rFonts w:asciiTheme="minorHAnsi" w:hAnsiTheme="minorHAnsi"/>
        </w:rPr>
        <w:t>s, pour leur</w:t>
      </w:r>
      <w:r w:rsidR="00A267B8" w:rsidRPr="00931158">
        <w:rPr>
          <w:rFonts w:asciiTheme="minorHAnsi" w:hAnsiTheme="minorHAnsi"/>
        </w:rPr>
        <w:t>s</w:t>
      </w:r>
      <w:r w:rsidR="008E4C48" w:rsidRPr="00931158">
        <w:rPr>
          <w:rFonts w:asciiTheme="minorHAnsi" w:hAnsiTheme="minorHAnsi"/>
        </w:rPr>
        <w:t xml:space="preserve"> patient</w:t>
      </w:r>
      <w:r w:rsidR="00A267B8" w:rsidRPr="00931158">
        <w:rPr>
          <w:rFonts w:asciiTheme="minorHAnsi" w:hAnsiTheme="minorHAnsi"/>
        </w:rPr>
        <w:t>s</w:t>
      </w:r>
      <w:r w:rsidR="008E4C48" w:rsidRPr="00931158">
        <w:rPr>
          <w:rFonts w:asciiTheme="minorHAnsi" w:hAnsiTheme="minorHAnsi"/>
        </w:rPr>
        <w:t xml:space="preserve"> diabétique</w:t>
      </w:r>
      <w:r w:rsidR="00A267B8" w:rsidRPr="00931158">
        <w:rPr>
          <w:rFonts w:asciiTheme="minorHAnsi" w:hAnsiTheme="minorHAnsi"/>
        </w:rPr>
        <w:t>s</w:t>
      </w:r>
      <w:r w:rsidR="008E4C48" w:rsidRPr="00931158">
        <w:rPr>
          <w:rFonts w:asciiTheme="minorHAnsi" w:hAnsiTheme="minorHAnsi"/>
        </w:rPr>
        <w:t xml:space="preserve"> qui entre</w:t>
      </w:r>
      <w:r w:rsidR="00A267B8" w:rsidRPr="00931158">
        <w:rPr>
          <w:rFonts w:asciiTheme="minorHAnsi" w:hAnsiTheme="minorHAnsi"/>
        </w:rPr>
        <w:t>nt</w:t>
      </w:r>
      <w:r w:rsidR="008E4C48" w:rsidRPr="00931158">
        <w:rPr>
          <w:rFonts w:asciiTheme="minorHAnsi" w:hAnsiTheme="minorHAnsi"/>
        </w:rPr>
        <w:t xml:space="preserve"> en considération pour ce modèle de soins, porteront en compte la prestation 102852. Ces patients pourront dès lors – sur pres</w:t>
      </w:r>
      <w:r w:rsidR="00F23077" w:rsidRPr="00931158">
        <w:rPr>
          <w:rFonts w:asciiTheme="minorHAnsi" w:hAnsiTheme="minorHAnsi"/>
        </w:rPr>
        <w:t>cription du médecin généraliste -</w:t>
      </w:r>
      <w:r w:rsidR="008E4C48" w:rsidRPr="00931158">
        <w:rPr>
          <w:rFonts w:asciiTheme="minorHAnsi" w:hAnsiTheme="minorHAnsi"/>
        </w:rPr>
        <w:t xml:space="preserve"> entrer en ligne de compte pour la diététique. Le nombre de patients diabétiques qu</w:t>
      </w:r>
      <w:r w:rsidR="00F23077" w:rsidRPr="00931158">
        <w:rPr>
          <w:rFonts w:asciiTheme="minorHAnsi" w:hAnsiTheme="minorHAnsi"/>
        </w:rPr>
        <w:t>i feront appel à un diététicien</w:t>
      </w:r>
      <w:r w:rsidR="008E4C48" w:rsidRPr="00931158">
        <w:rPr>
          <w:rFonts w:asciiTheme="minorHAnsi" w:hAnsiTheme="minorHAnsi"/>
        </w:rPr>
        <w:t xml:space="preserve"> augmentera probablement aussi avec ce nouveau système.</w:t>
      </w: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r w:rsidRPr="00931158">
        <w:rPr>
          <w:rFonts w:asciiTheme="minorHAnsi" w:hAnsiTheme="minorHAnsi"/>
        </w:rPr>
        <w:t xml:space="preserve">A titre d’information, nous ajoutons en annexe à la présente lettre le projet d’Arrêté royal qui règle les adaptations pour les diététiciens (et les podologues) et </w:t>
      </w:r>
      <w:r w:rsidR="00DB63BB" w:rsidRPr="00931158">
        <w:rPr>
          <w:rFonts w:asciiTheme="minorHAnsi" w:hAnsiTheme="minorHAnsi"/>
        </w:rPr>
        <w:t>dont</w:t>
      </w:r>
      <w:r w:rsidRPr="00931158">
        <w:rPr>
          <w:rFonts w:asciiTheme="minorHAnsi" w:hAnsiTheme="minorHAnsi"/>
        </w:rPr>
        <w:t xml:space="preserve"> les dispositions entrent en vigueur au 1</w:t>
      </w:r>
      <w:r w:rsidRPr="00931158">
        <w:rPr>
          <w:rFonts w:asciiTheme="minorHAnsi" w:hAnsiTheme="minorHAnsi"/>
          <w:vertAlign w:val="superscript"/>
        </w:rPr>
        <w:t>er</w:t>
      </w:r>
      <w:r w:rsidRPr="00931158">
        <w:rPr>
          <w:rFonts w:asciiTheme="minorHAnsi" w:hAnsiTheme="minorHAnsi"/>
        </w:rPr>
        <w:t xml:space="preserve"> février 2016 et ce,  même dans le cas où il est publié à une date ultérieure. </w:t>
      </w: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r w:rsidRPr="00931158">
        <w:rPr>
          <w:rFonts w:asciiTheme="minorHAnsi" w:hAnsiTheme="minorHAnsi"/>
        </w:rPr>
        <w:t>En cas de question</w:t>
      </w:r>
      <w:r w:rsidR="00F23077" w:rsidRPr="00931158">
        <w:rPr>
          <w:rFonts w:asciiTheme="minorHAnsi" w:hAnsiTheme="minorHAnsi"/>
        </w:rPr>
        <w:t>s</w:t>
      </w:r>
      <w:r w:rsidRPr="00931158">
        <w:rPr>
          <w:rFonts w:asciiTheme="minorHAnsi" w:hAnsiTheme="minorHAnsi"/>
        </w:rPr>
        <w:t xml:space="preserve"> sur cette nouvelle règlementation, vous pouvez </w:t>
      </w:r>
      <w:r w:rsidR="009C105D" w:rsidRPr="00931158">
        <w:rPr>
          <w:rFonts w:asciiTheme="minorHAnsi" w:hAnsiTheme="minorHAnsi"/>
        </w:rPr>
        <w:t xml:space="preserve">toujours </w:t>
      </w:r>
      <w:r w:rsidRPr="00931158">
        <w:rPr>
          <w:rFonts w:asciiTheme="minorHAnsi" w:hAnsiTheme="minorHAnsi"/>
        </w:rPr>
        <w:t>contacter la personne de contact dont les coordonnées figurent en entête à la présente lettre.</w:t>
      </w: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r w:rsidRPr="00931158">
        <w:rPr>
          <w:rFonts w:asciiTheme="minorHAnsi" w:hAnsiTheme="minorHAnsi"/>
        </w:rPr>
        <w:t>Je vous prie, d’agréer, Madame, Monsieur, l’expression de mes sentiments les meilleurs.</w:t>
      </w: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r w:rsidRPr="00931158">
        <w:rPr>
          <w:rFonts w:asciiTheme="minorHAnsi" w:hAnsiTheme="minorHAnsi"/>
        </w:rPr>
        <w:t>Le Fonctionnaire Dirigeant,</w:t>
      </w: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p>
    <w:p w:rsidR="008E4C48" w:rsidRPr="00931158" w:rsidRDefault="008E4C48" w:rsidP="00ED36E5">
      <w:pPr>
        <w:jc w:val="both"/>
        <w:rPr>
          <w:rFonts w:asciiTheme="minorHAnsi" w:hAnsiTheme="minorHAnsi"/>
        </w:rPr>
      </w:pPr>
      <w:r w:rsidRPr="00931158">
        <w:rPr>
          <w:rFonts w:asciiTheme="minorHAnsi" w:hAnsiTheme="minorHAnsi"/>
        </w:rPr>
        <w:t>H. DE RIDDER</w:t>
      </w:r>
    </w:p>
    <w:p w:rsidR="008E4C48" w:rsidRPr="00ED36E5" w:rsidRDefault="008E4C48" w:rsidP="00ED36E5">
      <w:pPr>
        <w:jc w:val="both"/>
        <w:rPr>
          <w:rFonts w:asciiTheme="minorHAnsi" w:hAnsiTheme="minorHAnsi"/>
        </w:rPr>
      </w:pPr>
      <w:r w:rsidRPr="00931158">
        <w:rPr>
          <w:rFonts w:asciiTheme="minorHAnsi" w:hAnsiTheme="minorHAnsi"/>
        </w:rPr>
        <w:t>Directeur Général.</w:t>
      </w:r>
    </w:p>
    <w:p w:rsidR="00DF3C3B" w:rsidRPr="005D6A0E" w:rsidRDefault="00DF3C3B" w:rsidP="005D6A0E">
      <w:pPr>
        <w:jc w:val="both"/>
        <w:rPr>
          <w:rFonts w:asciiTheme="minorHAnsi" w:hAnsiTheme="minorHAnsi"/>
        </w:rPr>
      </w:pPr>
    </w:p>
    <w:p w:rsidR="00594076" w:rsidRPr="005D6A0E" w:rsidRDefault="00594076" w:rsidP="005D6A0E">
      <w:pPr>
        <w:jc w:val="both"/>
        <w:rPr>
          <w:rFonts w:asciiTheme="minorHAnsi" w:hAnsiTheme="minorHAnsi"/>
        </w:rPr>
      </w:pPr>
    </w:p>
    <w:p w:rsidR="00594076" w:rsidRDefault="00594076" w:rsidP="00A95146"/>
    <w:p w:rsidR="00594076" w:rsidRDefault="00594076" w:rsidP="00A95146"/>
    <w:p w:rsidR="00594076" w:rsidRDefault="00594076" w:rsidP="00A95146"/>
    <w:p w:rsidR="00594076" w:rsidRDefault="00594076" w:rsidP="00A95146"/>
    <w:p w:rsidR="00594076" w:rsidRDefault="00594076" w:rsidP="00A95146"/>
    <w:p w:rsidR="00594076" w:rsidRDefault="00594076" w:rsidP="00A95146"/>
    <w:p w:rsidR="00594076" w:rsidRDefault="00594076" w:rsidP="00A95146"/>
    <w:p w:rsidR="00594076" w:rsidRDefault="00594076" w:rsidP="00A95146"/>
    <w:p w:rsidR="00594076" w:rsidRDefault="00594076" w:rsidP="00A95146"/>
    <w:p w:rsidR="000E228F" w:rsidRPr="00EF235E" w:rsidRDefault="000E228F" w:rsidP="003510AB">
      <w:pPr>
        <w:ind w:left="4962"/>
      </w:pPr>
    </w:p>
    <w:sectPr w:rsidR="000E228F" w:rsidRPr="00EF235E" w:rsidSect="00820ABA">
      <w:footerReference w:type="default" r:id="rId9"/>
      <w:pgSz w:w="11907" w:h="16840" w:code="9"/>
      <w:pgMar w:top="1440" w:right="1797" w:bottom="1440" w:left="1797" w:header="709" w:footer="709" w:gutter="0"/>
      <w:paperSrc w:first="3" w:other="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A5C" w:rsidRDefault="004B7A5C">
      <w:r>
        <w:separator/>
      </w:r>
    </w:p>
  </w:endnote>
  <w:endnote w:type="continuationSeparator" w:id="0">
    <w:p w:rsidR="004B7A5C" w:rsidRDefault="004B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7A5C" w:rsidRDefault="004B7A5C" w:rsidP="00FA037F">
    <w:pPr>
      <w:pStyle w:val="Pieddepage"/>
      <w:tabs>
        <w:tab w:val="clear" w:pos="4320"/>
        <w:tab w:val="right" w:pos="7900"/>
        <w:tab w:val="right" w:pos="8505"/>
      </w:tabs>
      <w:rPr>
        <w:sz w:val="18"/>
        <w:szCs w:val="18"/>
      </w:rPr>
    </w:pPr>
    <w:r>
      <w:rPr>
        <w:sz w:val="18"/>
        <w:szCs w:val="18"/>
      </w:rPr>
      <w:t xml:space="preserve">Avenue de Tervueren 211 </w:t>
    </w:r>
    <w:r>
      <w:rPr>
        <w:sz w:val="18"/>
        <w:szCs w:val="18"/>
      </w:rPr>
      <w:sym w:font="Symbol" w:char="F0B7"/>
    </w:r>
    <w:r>
      <w:rPr>
        <w:sz w:val="18"/>
        <w:szCs w:val="18"/>
      </w:rPr>
      <w:t xml:space="preserve"> B - 1150 Bruxelles </w:t>
    </w:r>
    <w:r>
      <w:rPr>
        <w:sz w:val="18"/>
        <w:szCs w:val="18"/>
      </w:rPr>
      <w:tab/>
      <w:t xml:space="preserve">Tél. : 02 739 71 11 </w:t>
    </w:r>
    <w:r>
      <w:rPr>
        <w:sz w:val="18"/>
        <w:szCs w:val="18"/>
      </w:rPr>
      <w:sym w:font="Symbol" w:char="F0B7"/>
    </w:r>
    <w:r>
      <w:rPr>
        <w:sz w:val="18"/>
        <w:szCs w:val="18"/>
      </w:rPr>
      <w:t xml:space="preserve"> Fax : 02 739 72 91</w:t>
    </w:r>
  </w:p>
  <w:p w:rsidR="004B7A5C" w:rsidRDefault="004B7A5C" w:rsidP="00FA037F">
    <w:pPr>
      <w:pStyle w:val="Pieddepage"/>
      <w:tabs>
        <w:tab w:val="clear" w:pos="4320"/>
        <w:tab w:val="right" w:pos="7900"/>
      </w:tabs>
    </w:pPr>
    <w:r>
      <w:rPr>
        <w:b/>
        <w:bCs/>
        <w:spacing w:val="2"/>
        <w:sz w:val="18"/>
        <w:szCs w:val="18"/>
      </w:rPr>
      <w:t>Heures d'ouverture des bureaux :</w:t>
    </w:r>
    <w:r>
      <w:rPr>
        <w:spacing w:val="2"/>
        <w:sz w:val="18"/>
        <w:szCs w:val="18"/>
      </w:rPr>
      <w:t xml:space="preserve"> de 9 à 12 heures .</w:t>
    </w:r>
    <w:r>
      <w:rPr>
        <w:spacing w:val="2"/>
        <w:sz w:val="18"/>
        <w:szCs w:val="18"/>
      </w:rPr>
      <w:tab/>
      <w:t>Possibilité de rendez-vous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A5C" w:rsidRDefault="004B7A5C">
      <w:r>
        <w:separator/>
      </w:r>
    </w:p>
  </w:footnote>
  <w:footnote w:type="continuationSeparator" w:id="0">
    <w:p w:rsidR="004B7A5C" w:rsidRDefault="004B7A5C">
      <w:r>
        <w:continuationSeparator/>
      </w:r>
    </w:p>
  </w:footnote>
  <w:footnote w:id="1">
    <w:p w:rsidR="004B7A5C" w:rsidRPr="004345C0" w:rsidRDefault="004B7A5C">
      <w:pPr>
        <w:pStyle w:val="Notedebasdepage"/>
        <w:rPr>
          <w:rFonts w:asciiTheme="minorHAnsi" w:hAnsiTheme="minorHAnsi"/>
          <w:sz w:val="16"/>
          <w:szCs w:val="16"/>
        </w:rPr>
      </w:pPr>
      <w:r w:rsidRPr="004345C0">
        <w:rPr>
          <w:rStyle w:val="Appelnotedebasdep"/>
          <w:rFonts w:asciiTheme="minorHAnsi" w:hAnsiTheme="minorHAnsi"/>
          <w:sz w:val="16"/>
          <w:szCs w:val="16"/>
        </w:rPr>
        <w:footnoteRef/>
      </w:r>
      <w:r w:rsidRPr="004345C0">
        <w:rPr>
          <w:rFonts w:asciiTheme="minorHAnsi" w:hAnsiTheme="minorHAnsi"/>
          <w:sz w:val="16"/>
          <w:szCs w:val="16"/>
        </w:rPr>
        <w:t xml:space="preserve"> Pour la prestation 771131</w:t>
      </w:r>
      <w:r>
        <w:rPr>
          <w:rFonts w:asciiTheme="minorHAnsi" w:hAnsiTheme="minorHAnsi"/>
          <w:sz w:val="16"/>
          <w:szCs w:val="16"/>
        </w:rPr>
        <w:t>, il doit toujours s’agir d’un patient diabétique. Pour la prestation 794010, il peut également s’agir d’un patient qui souffre d’insuffisance rénale chronique et qui a conclu un contrat trajet de soins.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14BE4"/>
    <w:multiLevelType w:val="hybridMultilevel"/>
    <w:tmpl w:val="10FACD0E"/>
    <w:lvl w:ilvl="0" w:tplc="7D9E73DA">
      <w:start w:val="5"/>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6474D0"/>
    <w:multiLevelType w:val="hybridMultilevel"/>
    <w:tmpl w:val="070A6B56"/>
    <w:lvl w:ilvl="0" w:tplc="E940CD50">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285"/>
    <w:rsid w:val="00061AAD"/>
    <w:rsid w:val="000B77D9"/>
    <w:rsid w:val="000E228F"/>
    <w:rsid w:val="001426B5"/>
    <w:rsid w:val="0015236E"/>
    <w:rsid w:val="002B0339"/>
    <w:rsid w:val="002C1CE7"/>
    <w:rsid w:val="00320611"/>
    <w:rsid w:val="0034151E"/>
    <w:rsid w:val="003419DD"/>
    <w:rsid w:val="003506DB"/>
    <w:rsid w:val="003510AB"/>
    <w:rsid w:val="003B3C60"/>
    <w:rsid w:val="003C5190"/>
    <w:rsid w:val="004345C0"/>
    <w:rsid w:val="00442A5A"/>
    <w:rsid w:val="00472BA1"/>
    <w:rsid w:val="004B7A5C"/>
    <w:rsid w:val="004E5CB8"/>
    <w:rsid w:val="00505EC1"/>
    <w:rsid w:val="00540AFA"/>
    <w:rsid w:val="00571CFA"/>
    <w:rsid w:val="00594076"/>
    <w:rsid w:val="005A0C86"/>
    <w:rsid w:val="005D6A0E"/>
    <w:rsid w:val="005E2361"/>
    <w:rsid w:val="005E51CB"/>
    <w:rsid w:val="00623C14"/>
    <w:rsid w:val="00737BFB"/>
    <w:rsid w:val="007F40E8"/>
    <w:rsid w:val="007F5DBC"/>
    <w:rsid w:val="007F7285"/>
    <w:rsid w:val="00820ABA"/>
    <w:rsid w:val="00822EE9"/>
    <w:rsid w:val="00896B4A"/>
    <w:rsid w:val="008A3DD4"/>
    <w:rsid w:val="008E25DF"/>
    <w:rsid w:val="008E4C48"/>
    <w:rsid w:val="00931158"/>
    <w:rsid w:val="00981BAF"/>
    <w:rsid w:val="009C105D"/>
    <w:rsid w:val="009C1A80"/>
    <w:rsid w:val="00A252F1"/>
    <w:rsid w:val="00A267B8"/>
    <w:rsid w:val="00A36960"/>
    <w:rsid w:val="00A36EB3"/>
    <w:rsid w:val="00A64320"/>
    <w:rsid w:val="00A95146"/>
    <w:rsid w:val="00AB0FC8"/>
    <w:rsid w:val="00AC1AD1"/>
    <w:rsid w:val="00BB1AE0"/>
    <w:rsid w:val="00BB1E63"/>
    <w:rsid w:val="00BC2CA0"/>
    <w:rsid w:val="00C14CE3"/>
    <w:rsid w:val="00C43F91"/>
    <w:rsid w:val="00D25D4D"/>
    <w:rsid w:val="00D81202"/>
    <w:rsid w:val="00DA6ACF"/>
    <w:rsid w:val="00DA7F18"/>
    <w:rsid w:val="00DB63BB"/>
    <w:rsid w:val="00DE371E"/>
    <w:rsid w:val="00DF3C3B"/>
    <w:rsid w:val="00E04C5E"/>
    <w:rsid w:val="00E16449"/>
    <w:rsid w:val="00E344E2"/>
    <w:rsid w:val="00E93731"/>
    <w:rsid w:val="00E93F90"/>
    <w:rsid w:val="00ED36E5"/>
    <w:rsid w:val="00F15A7B"/>
    <w:rsid w:val="00F23077"/>
    <w:rsid w:val="00F329EB"/>
    <w:rsid w:val="00FA037F"/>
    <w:rsid w:val="00FA7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71E"/>
    <w:rPr>
      <w:rFonts w:ascii="Arial" w:hAnsi="Arial" w:cs="Arial"/>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E3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FA037F"/>
    <w:pPr>
      <w:tabs>
        <w:tab w:val="center" w:pos="4320"/>
        <w:tab w:val="right" w:pos="8640"/>
      </w:tabs>
    </w:pPr>
  </w:style>
  <w:style w:type="paragraph" w:styleId="Pieddepage">
    <w:name w:val="footer"/>
    <w:basedOn w:val="Normal"/>
    <w:rsid w:val="00FA037F"/>
    <w:pPr>
      <w:tabs>
        <w:tab w:val="center" w:pos="4320"/>
        <w:tab w:val="right" w:pos="8640"/>
      </w:tabs>
    </w:pPr>
  </w:style>
  <w:style w:type="paragraph" w:styleId="Adresseexpditeur">
    <w:name w:val="envelope return"/>
    <w:basedOn w:val="Normal"/>
    <w:rsid w:val="00FA037F"/>
    <w:pPr>
      <w:tabs>
        <w:tab w:val="left" w:pos="426"/>
        <w:tab w:val="left" w:pos="1418"/>
        <w:tab w:val="left" w:pos="3969"/>
      </w:tabs>
      <w:ind w:right="-108"/>
      <w:jc w:val="both"/>
    </w:pPr>
  </w:style>
  <w:style w:type="paragraph" w:styleId="Textedebulles">
    <w:name w:val="Balloon Text"/>
    <w:basedOn w:val="Normal"/>
    <w:semiHidden/>
    <w:rsid w:val="00FA037F"/>
    <w:rPr>
      <w:rFonts w:ascii="Tahoma" w:hAnsi="Tahoma" w:cs="Tahoma"/>
      <w:sz w:val="16"/>
      <w:szCs w:val="16"/>
    </w:rPr>
  </w:style>
  <w:style w:type="paragraph" w:customStyle="1" w:styleId="Default">
    <w:name w:val="Default"/>
    <w:rsid w:val="00E93731"/>
    <w:pPr>
      <w:autoSpaceDE w:val="0"/>
      <w:autoSpaceDN w:val="0"/>
      <w:adjustRightInd w:val="0"/>
    </w:pPr>
    <w:rPr>
      <w:color w:val="000000"/>
      <w:sz w:val="24"/>
      <w:szCs w:val="24"/>
      <w:lang w:val="nl-NL" w:eastAsia="nl-NL"/>
    </w:rPr>
  </w:style>
  <w:style w:type="paragraph" w:styleId="Paragraphedeliste">
    <w:name w:val="List Paragraph"/>
    <w:basedOn w:val="Normal"/>
    <w:uiPriority w:val="34"/>
    <w:qFormat/>
    <w:rsid w:val="005D6A0E"/>
    <w:pPr>
      <w:ind w:left="720"/>
      <w:contextualSpacing/>
    </w:pPr>
  </w:style>
  <w:style w:type="paragraph" w:styleId="Notedebasdepage">
    <w:name w:val="footnote text"/>
    <w:basedOn w:val="Normal"/>
    <w:link w:val="NotedebasdepageCar"/>
    <w:rsid w:val="004345C0"/>
  </w:style>
  <w:style w:type="character" w:customStyle="1" w:styleId="NotedebasdepageCar">
    <w:name w:val="Note de bas de page Car"/>
    <w:basedOn w:val="Policepardfaut"/>
    <w:link w:val="Notedebasdepage"/>
    <w:rsid w:val="004345C0"/>
    <w:rPr>
      <w:rFonts w:ascii="Arial" w:hAnsi="Arial" w:cs="Arial"/>
      <w:lang w:val="fr-BE"/>
    </w:rPr>
  </w:style>
  <w:style w:type="character" w:styleId="Appelnotedebasdep">
    <w:name w:val="footnote reference"/>
    <w:basedOn w:val="Policepardfaut"/>
    <w:rsid w:val="004345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71E"/>
    <w:rPr>
      <w:rFonts w:ascii="Arial" w:hAnsi="Arial" w:cs="Arial"/>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DE3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FA037F"/>
    <w:pPr>
      <w:tabs>
        <w:tab w:val="center" w:pos="4320"/>
        <w:tab w:val="right" w:pos="8640"/>
      </w:tabs>
    </w:pPr>
  </w:style>
  <w:style w:type="paragraph" w:styleId="Pieddepage">
    <w:name w:val="footer"/>
    <w:basedOn w:val="Normal"/>
    <w:rsid w:val="00FA037F"/>
    <w:pPr>
      <w:tabs>
        <w:tab w:val="center" w:pos="4320"/>
        <w:tab w:val="right" w:pos="8640"/>
      </w:tabs>
    </w:pPr>
  </w:style>
  <w:style w:type="paragraph" w:styleId="Adresseexpditeur">
    <w:name w:val="envelope return"/>
    <w:basedOn w:val="Normal"/>
    <w:rsid w:val="00FA037F"/>
    <w:pPr>
      <w:tabs>
        <w:tab w:val="left" w:pos="426"/>
        <w:tab w:val="left" w:pos="1418"/>
        <w:tab w:val="left" w:pos="3969"/>
      </w:tabs>
      <w:ind w:right="-108"/>
      <w:jc w:val="both"/>
    </w:pPr>
  </w:style>
  <w:style w:type="paragraph" w:styleId="Textedebulles">
    <w:name w:val="Balloon Text"/>
    <w:basedOn w:val="Normal"/>
    <w:semiHidden/>
    <w:rsid w:val="00FA037F"/>
    <w:rPr>
      <w:rFonts w:ascii="Tahoma" w:hAnsi="Tahoma" w:cs="Tahoma"/>
      <w:sz w:val="16"/>
      <w:szCs w:val="16"/>
    </w:rPr>
  </w:style>
  <w:style w:type="paragraph" w:customStyle="1" w:styleId="Default">
    <w:name w:val="Default"/>
    <w:rsid w:val="00E93731"/>
    <w:pPr>
      <w:autoSpaceDE w:val="0"/>
      <w:autoSpaceDN w:val="0"/>
      <w:adjustRightInd w:val="0"/>
    </w:pPr>
    <w:rPr>
      <w:color w:val="000000"/>
      <w:sz w:val="24"/>
      <w:szCs w:val="24"/>
      <w:lang w:val="nl-NL" w:eastAsia="nl-NL"/>
    </w:rPr>
  </w:style>
  <w:style w:type="paragraph" w:styleId="Paragraphedeliste">
    <w:name w:val="List Paragraph"/>
    <w:basedOn w:val="Normal"/>
    <w:uiPriority w:val="34"/>
    <w:qFormat/>
    <w:rsid w:val="005D6A0E"/>
    <w:pPr>
      <w:ind w:left="720"/>
      <w:contextualSpacing/>
    </w:pPr>
  </w:style>
  <w:style w:type="paragraph" w:styleId="Notedebasdepage">
    <w:name w:val="footnote text"/>
    <w:basedOn w:val="Normal"/>
    <w:link w:val="NotedebasdepageCar"/>
    <w:rsid w:val="004345C0"/>
  </w:style>
  <w:style w:type="character" w:customStyle="1" w:styleId="NotedebasdepageCar">
    <w:name w:val="Note de bas de page Car"/>
    <w:basedOn w:val="Policepardfaut"/>
    <w:link w:val="Notedebasdepage"/>
    <w:rsid w:val="004345C0"/>
    <w:rPr>
      <w:rFonts w:ascii="Arial" w:hAnsi="Arial" w:cs="Arial"/>
      <w:lang w:val="fr-BE"/>
    </w:rPr>
  </w:style>
  <w:style w:type="character" w:styleId="Appelnotedebasdep">
    <w:name w:val="footnote reference"/>
    <w:basedOn w:val="Policepardfaut"/>
    <w:rsid w:val="004345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941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N:\GV-SS\INST\INFO\TEMPLATES_directives\Lettre_F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2016-03-07T23:00:00+00:00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Diététicien</TermName>
          <TermId xmlns="http://schemas.microsoft.com/office/infopath/2007/PartnerControls">702f16b6-4131-4169-beae-fb091aa10143</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8</Value>
      <Value>45</Value>
    </TaxCatchAll>
    <RIDocSummary xmlns="f15eea43-7fa7-45cf-8dc0-d5244e2cd467" xsi:nil="true"/>
    <RIThemeTaxHTField0 xmlns="f15eea43-7fa7-45cf-8dc0-d5244e2cd467">
      <Terms xmlns="http://schemas.microsoft.com/office/infopath/2007/PartnerControls"/>
    </RIThemeTaxHTField0>
    <PublishingExpirationDate xmlns="http://schemas.microsoft.com/sharepoint/v3" xsi:nil="true"/>
    <RIDocTypeTaxHTField0 xmlns="f15eea43-7fa7-45cf-8dc0-d5244e2cd467">
      <Terms xmlns="http://schemas.microsoft.com/office/infopath/2007/PartnerControls"/>
    </RIDocTypeTaxHTField0>
    <PublishingStartDate xmlns="http://schemas.microsoft.com/sharepoint/v3" xsi:nil="true"/>
    <gde733b7de1f426ba66c11d7c4a6ad8f xmlns="61fd8d87-ea47-44bb-afd6-b4d99b1d9c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11EBD-BB2B-44C0-8999-6A22EE3EB1A9}"/>
</file>

<file path=customXml/itemProps2.xml><?xml version="1.0" encoding="utf-8"?>
<ds:datastoreItem xmlns:ds="http://schemas.openxmlformats.org/officeDocument/2006/customXml" ds:itemID="{8A1059DB-AE86-4C3B-B186-DA038CF22323}"/>
</file>

<file path=customXml/itemProps3.xml><?xml version="1.0" encoding="utf-8"?>
<ds:datastoreItem xmlns:ds="http://schemas.openxmlformats.org/officeDocument/2006/customXml" ds:itemID="{EDC325A0-ECD7-427F-A310-2B1D517E7CDD}"/>
</file>

<file path=customXml/itemProps4.xml><?xml version="1.0" encoding="utf-8"?>
<ds:datastoreItem xmlns:ds="http://schemas.openxmlformats.org/officeDocument/2006/customXml" ds:itemID="{BCFAD803-E4BE-4F82-9AFE-D62538EBD6D3}"/>
</file>

<file path=docProps/app.xml><?xml version="1.0" encoding="utf-8"?>
<Properties xmlns="http://schemas.openxmlformats.org/officeDocument/2006/extended-properties" xmlns:vt="http://schemas.openxmlformats.org/officeDocument/2006/docPropsVTypes">
  <Template>Lettre_FR.dotx</Template>
  <TotalTime>0</TotalTime>
  <Pages>3</Pages>
  <Words>1128</Words>
  <Characters>5991</Characters>
  <Application>Microsoft Office Word</Application>
  <DocSecurity>4</DocSecurity>
  <Lines>49</Lines>
  <Paragraphs>14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R.I.Z.I.V. - I.N.A.M.I.</Company>
  <LinksUpToDate>false</LinksUpToDate>
  <CharactersWithSpaces>7105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Suppression du passeport du diabète – Conséquences pour vous en tant que diététicien</dc:title>
  <dc:creator>Celine Franken</dc:creator>
  <cp:lastModifiedBy>Sandrine Bingen</cp:lastModifiedBy>
  <cp:revision>2</cp:revision>
  <cp:lastPrinted>2016-02-04T14:43:00Z</cp:lastPrinted>
  <dcterms:created xsi:type="dcterms:W3CDTF">2016-03-08T08:08:00Z</dcterms:created>
  <dcterms:modified xsi:type="dcterms:W3CDTF">2016-03-08T08:08:00Z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45;#Diététicien|702f16b6-4131-4169-beae-fb091aa10143</vt:lpwstr>
  </property>
  <property fmtid="{D5CDD505-2E9C-101B-9397-08002B2CF9AE}" pid="4" name="RITheme">
    <vt:lpwstr/>
  </property>
  <property fmtid="{D5CDD505-2E9C-101B-9397-08002B2CF9AE}" pid="5" name="RILanguage">
    <vt:lpwstr>8;#Français|aa2269b8-11bd-4cc9-9267-801806817e60</vt:lpwstr>
  </property>
  <property fmtid="{D5CDD505-2E9C-101B-9397-08002B2CF9AE}" pid="6" name="RIDocType">
    <vt:lpwstr/>
  </property>
  <property fmtid="{D5CDD505-2E9C-101B-9397-08002B2CF9AE}" pid="7" name="Publication type for documents">
    <vt:lpwstr/>
  </property>
</Properties>
</file>