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8" w:type="dxa"/>
        <w:tblLayout w:type="fixed"/>
        <w:tblLook w:val="04A0" w:firstRow="1" w:lastRow="0" w:firstColumn="1" w:lastColumn="0" w:noHBand="0" w:noVBand="1"/>
      </w:tblPr>
      <w:tblGrid>
        <w:gridCol w:w="4834"/>
        <w:gridCol w:w="4834"/>
      </w:tblGrid>
      <w:tr w:rsidR="003979EA" w:rsidRPr="007A075B" w:rsidTr="00302D96">
        <w:tc>
          <w:tcPr>
            <w:tcW w:w="4834" w:type="dxa"/>
            <w:shd w:val="clear" w:color="auto" w:fill="auto"/>
          </w:tcPr>
          <w:p w:rsidR="003979EA" w:rsidRPr="003303C3" w:rsidRDefault="003979EA" w:rsidP="00302D96">
            <w:pPr>
              <w:tabs>
                <w:tab w:val="left" w:pos="0"/>
                <w:tab w:val="left" w:pos="389"/>
                <w:tab w:val="left" w:pos="720"/>
                <w:tab w:val="left" w:pos="1166"/>
                <w:tab w:val="left" w:pos="1555"/>
                <w:tab w:val="left" w:pos="1944"/>
                <w:tab w:val="left" w:pos="2333"/>
                <w:tab w:val="left" w:pos="2880"/>
              </w:tabs>
              <w:suppressAutoHyphens/>
              <w:jc w:val="center"/>
              <w:rPr>
                <w:rFonts w:asciiTheme="minorHAnsi" w:hAnsiTheme="minorHAnsi" w:cstheme="minorHAnsi"/>
                <w:b/>
                <w:bCs/>
                <w:i/>
                <w:iCs/>
                <w:spacing w:val="-4"/>
              </w:rPr>
            </w:pPr>
          </w:p>
          <w:p w:rsidR="003979EA" w:rsidRPr="003303C3" w:rsidRDefault="003979EA" w:rsidP="00302D96">
            <w:pPr>
              <w:ind w:right="217"/>
              <w:jc w:val="center"/>
              <w:rPr>
                <w:rFonts w:asciiTheme="minorHAnsi" w:hAnsiTheme="minorHAnsi" w:cstheme="minorHAnsi"/>
                <w:lang w:val="nl-BE"/>
              </w:rPr>
            </w:pPr>
            <w:r w:rsidRPr="003303C3">
              <w:rPr>
                <w:rFonts w:asciiTheme="minorHAnsi" w:hAnsiTheme="minorHAnsi" w:cstheme="minorHAnsi"/>
                <w:lang w:val="nl-BE"/>
              </w:rPr>
              <w:t>FEDERALE OVERHEIDSDIENST</w:t>
            </w:r>
          </w:p>
          <w:p w:rsidR="003979EA" w:rsidRPr="003303C3" w:rsidRDefault="003979EA" w:rsidP="00302D96">
            <w:pPr>
              <w:jc w:val="center"/>
              <w:rPr>
                <w:rFonts w:asciiTheme="minorHAnsi" w:hAnsiTheme="minorHAnsi" w:cstheme="minorHAnsi"/>
              </w:rPr>
            </w:pPr>
            <w:r w:rsidRPr="003303C3">
              <w:rPr>
                <w:rFonts w:asciiTheme="minorHAnsi" w:hAnsiTheme="minorHAnsi" w:cstheme="minorHAnsi"/>
                <w:lang w:val="nl-BE"/>
              </w:rPr>
              <w:t>SOCIA</w:t>
            </w:r>
            <w:r w:rsidRPr="003303C3">
              <w:rPr>
                <w:rFonts w:asciiTheme="minorHAnsi" w:hAnsiTheme="minorHAnsi" w:cstheme="minorHAnsi"/>
              </w:rPr>
              <w:t>LE ZEKERHEID</w:t>
            </w:r>
          </w:p>
        </w:tc>
        <w:tc>
          <w:tcPr>
            <w:tcW w:w="4834" w:type="dxa"/>
          </w:tcPr>
          <w:p w:rsidR="003979EA" w:rsidRPr="00FF6138" w:rsidRDefault="003979EA" w:rsidP="00302D96">
            <w:pPr>
              <w:ind w:left="275" w:right="260"/>
              <w:jc w:val="center"/>
              <w:rPr>
                <w:rFonts w:ascii="Calibri" w:hAnsi="Calibri" w:cs="Calibri"/>
                <w:lang w:val="en-US"/>
              </w:rPr>
            </w:pPr>
          </w:p>
          <w:p w:rsidR="003979EA" w:rsidRPr="00FF6138" w:rsidRDefault="003979EA" w:rsidP="00302D96">
            <w:pPr>
              <w:ind w:left="275" w:right="260"/>
              <w:jc w:val="center"/>
              <w:rPr>
                <w:rFonts w:ascii="Calibri" w:hAnsi="Calibri" w:cs="Calibri"/>
                <w:lang w:val="en-US"/>
              </w:rPr>
            </w:pPr>
            <w:r w:rsidRPr="00FF6138">
              <w:rPr>
                <w:rFonts w:ascii="Calibri" w:hAnsi="Calibri" w:cs="Calibri"/>
                <w:lang w:val="en-US"/>
              </w:rPr>
              <w:t>SERVICE PUBLIC FEDERAL</w:t>
            </w:r>
          </w:p>
          <w:p w:rsidR="003979EA" w:rsidRPr="00FF6138" w:rsidRDefault="003979EA" w:rsidP="00302D96">
            <w:pPr>
              <w:jc w:val="center"/>
              <w:rPr>
                <w:rFonts w:ascii="Calibri" w:hAnsi="Calibri" w:cs="Calibri"/>
                <w:lang w:val="en-US"/>
              </w:rPr>
            </w:pPr>
            <w:r w:rsidRPr="00FF6138">
              <w:rPr>
                <w:rFonts w:ascii="Calibri" w:hAnsi="Calibri" w:cs="Calibri"/>
                <w:lang w:val="en-US"/>
              </w:rPr>
              <w:t>SECURITE SOCIALE</w:t>
            </w:r>
          </w:p>
        </w:tc>
      </w:tr>
      <w:tr w:rsidR="003979EA" w:rsidRPr="007A075B" w:rsidTr="00302D96">
        <w:tc>
          <w:tcPr>
            <w:tcW w:w="4834" w:type="dxa"/>
            <w:shd w:val="clear" w:color="auto" w:fill="auto"/>
          </w:tcPr>
          <w:p w:rsidR="003979EA" w:rsidRPr="003303C3" w:rsidRDefault="003979EA" w:rsidP="00302D96">
            <w:pPr>
              <w:jc w:val="both"/>
              <w:rPr>
                <w:rFonts w:asciiTheme="minorHAnsi" w:hAnsiTheme="minorHAnsi" w:cstheme="minorHAnsi"/>
                <w:lang w:val="en-US"/>
              </w:rPr>
            </w:pPr>
          </w:p>
        </w:tc>
        <w:tc>
          <w:tcPr>
            <w:tcW w:w="4834" w:type="dxa"/>
          </w:tcPr>
          <w:p w:rsidR="003979EA" w:rsidRPr="00FF6138" w:rsidRDefault="003979EA" w:rsidP="00302D96">
            <w:pPr>
              <w:jc w:val="both"/>
              <w:rPr>
                <w:rFonts w:ascii="Calibri" w:hAnsi="Calibri" w:cs="Calibri"/>
                <w:lang w:val="en-US"/>
              </w:rPr>
            </w:pPr>
          </w:p>
        </w:tc>
      </w:tr>
      <w:tr w:rsidR="003979EA" w:rsidRPr="007A075B" w:rsidTr="00302D96">
        <w:tc>
          <w:tcPr>
            <w:tcW w:w="4834" w:type="dxa"/>
            <w:shd w:val="clear" w:color="auto" w:fill="auto"/>
            <w:hideMark/>
          </w:tcPr>
          <w:p w:rsidR="003979EA" w:rsidRPr="003303C3" w:rsidRDefault="003979EA" w:rsidP="00302D96">
            <w:pPr>
              <w:autoSpaceDE w:val="0"/>
              <w:autoSpaceDN w:val="0"/>
              <w:adjustRightInd w:val="0"/>
              <w:jc w:val="both"/>
              <w:rPr>
                <w:rFonts w:asciiTheme="minorHAnsi" w:hAnsiTheme="minorHAnsi" w:cstheme="minorHAnsi"/>
                <w:bCs/>
                <w:lang w:val="en-US"/>
              </w:rPr>
            </w:pPr>
          </w:p>
        </w:tc>
        <w:tc>
          <w:tcPr>
            <w:tcW w:w="4834" w:type="dxa"/>
          </w:tcPr>
          <w:p w:rsidR="003979EA" w:rsidRPr="00FF6138" w:rsidRDefault="003979EA" w:rsidP="00302D96">
            <w:pPr>
              <w:jc w:val="both"/>
              <w:rPr>
                <w:rFonts w:ascii="Calibri" w:hAnsi="Calibri" w:cs="Calibri"/>
                <w:lang w:val="en-US"/>
              </w:rPr>
            </w:pPr>
          </w:p>
        </w:tc>
      </w:tr>
      <w:tr w:rsidR="003979EA" w:rsidRPr="00604EC6" w:rsidTr="00302D96">
        <w:tc>
          <w:tcPr>
            <w:tcW w:w="4834" w:type="dxa"/>
            <w:shd w:val="clear" w:color="auto" w:fill="auto"/>
          </w:tcPr>
          <w:p w:rsidR="003979EA" w:rsidRPr="003303C3" w:rsidRDefault="003979EA" w:rsidP="00302D96">
            <w:pPr>
              <w:ind w:right="217"/>
              <w:jc w:val="center"/>
              <w:rPr>
                <w:rFonts w:asciiTheme="minorHAnsi" w:hAnsiTheme="minorHAnsi" w:cstheme="minorHAnsi"/>
                <w:b/>
                <w:lang w:val="nl-BE"/>
              </w:rPr>
            </w:pPr>
            <w:r w:rsidRPr="003303C3">
              <w:rPr>
                <w:rFonts w:asciiTheme="minorHAnsi" w:hAnsiTheme="minorHAnsi" w:cstheme="minorHAnsi"/>
                <w:b/>
                <w:lang w:val="nl-BE"/>
              </w:rPr>
              <w:t>Rijksinstituut voor ziekte- en invaliditeitsverzekering</w:t>
            </w:r>
          </w:p>
          <w:p w:rsidR="003979EA" w:rsidRPr="003303C3" w:rsidRDefault="003979EA" w:rsidP="00302D96">
            <w:pPr>
              <w:jc w:val="center"/>
              <w:rPr>
                <w:rFonts w:asciiTheme="minorHAnsi" w:hAnsiTheme="minorHAnsi" w:cstheme="minorHAnsi"/>
                <w:lang w:val="nl-BE"/>
              </w:rPr>
            </w:pPr>
            <w:r w:rsidRPr="003303C3">
              <w:rPr>
                <w:rFonts w:asciiTheme="minorHAnsi" w:hAnsiTheme="minorHAnsi" w:cstheme="minorHAnsi"/>
                <w:b/>
                <w:lang w:val="nl-BE"/>
              </w:rPr>
              <w:t>Interpretatieregel</w:t>
            </w:r>
          </w:p>
        </w:tc>
        <w:tc>
          <w:tcPr>
            <w:tcW w:w="4834" w:type="dxa"/>
          </w:tcPr>
          <w:p w:rsidR="003979EA" w:rsidRPr="00FF6138" w:rsidRDefault="003979EA" w:rsidP="00302D96">
            <w:pPr>
              <w:ind w:left="275" w:right="260"/>
              <w:jc w:val="center"/>
              <w:rPr>
                <w:rFonts w:ascii="Calibri" w:hAnsi="Calibri" w:cs="Calibri"/>
                <w:b/>
              </w:rPr>
            </w:pPr>
            <w:r w:rsidRPr="00FF6138">
              <w:rPr>
                <w:rFonts w:ascii="Calibri" w:hAnsi="Calibri" w:cs="Calibri"/>
                <w:b/>
              </w:rPr>
              <w:t>Institut national d’assurance maladie-invalidité</w:t>
            </w:r>
          </w:p>
          <w:p w:rsidR="003979EA" w:rsidRPr="00FF6138" w:rsidRDefault="003979EA" w:rsidP="00302D96">
            <w:pPr>
              <w:ind w:left="275" w:right="260"/>
              <w:jc w:val="center"/>
              <w:rPr>
                <w:rFonts w:ascii="Calibri" w:hAnsi="Calibri" w:cs="Calibri"/>
              </w:rPr>
            </w:pPr>
            <w:r w:rsidRPr="00FF6138">
              <w:rPr>
                <w:rFonts w:ascii="Calibri" w:hAnsi="Calibri" w:cs="Calibri"/>
                <w:b/>
              </w:rPr>
              <w:t>Règle interprétative</w:t>
            </w:r>
          </w:p>
          <w:p w:rsidR="003979EA" w:rsidRPr="00FF6138" w:rsidRDefault="003979EA" w:rsidP="00302D96">
            <w:pPr>
              <w:jc w:val="both"/>
              <w:rPr>
                <w:rFonts w:ascii="Calibri" w:hAnsi="Calibri" w:cs="Calibri"/>
              </w:rPr>
            </w:pPr>
          </w:p>
        </w:tc>
      </w:tr>
      <w:tr w:rsidR="003979EA" w:rsidRPr="00604EC6" w:rsidTr="00302D96">
        <w:tc>
          <w:tcPr>
            <w:tcW w:w="4834" w:type="dxa"/>
            <w:shd w:val="clear" w:color="auto" w:fill="auto"/>
          </w:tcPr>
          <w:p w:rsidR="003979EA" w:rsidRPr="003303C3" w:rsidRDefault="003979EA" w:rsidP="00302D96">
            <w:pPr>
              <w:jc w:val="center"/>
              <w:rPr>
                <w:rFonts w:asciiTheme="minorHAnsi" w:hAnsiTheme="minorHAnsi" w:cstheme="minorHAnsi"/>
                <w:b/>
                <w:bCs/>
                <w:i/>
                <w:iCs/>
                <w:lang w:val="fr-BE"/>
              </w:rPr>
            </w:pPr>
          </w:p>
        </w:tc>
        <w:tc>
          <w:tcPr>
            <w:tcW w:w="4834" w:type="dxa"/>
          </w:tcPr>
          <w:p w:rsidR="003979EA" w:rsidRPr="00FF6138" w:rsidRDefault="003979EA" w:rsidP="00302D96">
            <w:pPr>
              <w:jc w:val="center"/>
              <w:outlineLvl w:val="1"/>
              <w:rPr>
                <w:rFonts w:ascii="Calibri" w:hAnsi="Calibri" w:cs="Calibri"/>
                <w:b/>
                <w:bCs/>
                <w:i/>
                <w:iCs/>
              </w:rPr>
            </w:pPr>
          </w:p>
        </w:tc>
      </w:tr>
      <w:tr w:rsidR="003979EA" w:rsidRPr="00EB14A1" w:rsidTr="00302D96">
        <w:tc>
          <w:tcPr>
            <w:tcW w:w="4834" w:type="dxa"/>
            <w:shd w:val="clear" w:color="auto" w:fill="auto"/>
          </w:tcPr>
          <w:p w:rsidR="003979EA" w:rsidRPr="00723D75" w:rsidRDefault="003979EA" w:rsidP="00554B94">
            <w:pPr>
              <w:ind w:right="217"/>
              <w:jc w:val="both"/>
              <w:rPr>
                <w:rFonts w:asciiTheme="minorHAnsi" w:hAnsiTheme="minorHAnsi" w:cstheme="minorHAnsi"/>
                <w:lang w:val="nl-BE"/>
              </w:rPr>
            </w:pPr>
            <w:r w:rsidRPr="00723D75">
              <w:rPr>
                <w:rFonts w:asciiTheme="minorHAnsi" w:hAnsiTheme="minorHAnsi" w:cstheme="minorHAnsi"/>
                <w:snapToGrid w:val="0"/>
                <w:lang w:val="nl-BE"/>
              </w:rPr>
              <w:t xml:space="preserve">Op voorstel van de </w:t>
            </w:r>
            <w:r w:rsidRPr="003C708D">
              <w:rPr>
                <w:rFonts w:asciiTheme="minorHAnsi" w:hAnsiTheme="minorHAnsi" w:cstheme="minorHAnsi"/>
                <w:snapToGrid w:val="0"/>
                <w:lang w:val="nl-BE"/>
              </w:rPr>
              <w:t>Overeenkomstencommissie apothekers-verzekeringsinstellingen</w:t>
            </w:r>
            <w:r w:rsidRPr="00723D75">
              <w:rPr>
                <w:rFonts w:asciiTheme="minorHAnsi" w:hAnsiTheme="minorHAnsi" w:cstheme="minorHAnsi"/>
                <w:snapToGrid w:val="0"/>
                <w:lang w:val="nl-BE"/>
              </w:rPr>
              <w:t xml:space="preserve"> van </w:t>
            </w:r>
            <w:r w:rsidR="00812516">
              <w:rPr>
                <w:rFonts w:asciiTheme="minorHAnsi" w:hAnsiTheme="minorHAnsi" w:cstheme="minorHAnsi"/>
                <w:snapToGrid w:val="0"/>
                <w:lang w:val="nl-BE"/>
              </w:rPr>
              <w:t xml:space="preserve">24 november </w:t>
            </w:r>
            <w:r w:rsidRPr="00723D75">
              <w:rPr>
                <w:rFonts w:asciiTheme="minorHAnsi" w:hAnsiTheme="minorHAnsi" w:cstheme="minorHAnsi"/>
                <w:snapToGrid w:val="0"/>
                <w:lang w:val="nl-BE"/>
              </w:rPr>
              <w:t xml:space="preserve"> 2017 en in uitvoering van artikel 22, 4°</w:t>
            </w:r>
            <w:r w:rsidRPr="00723D75">
              <w:rPr>
                <w:rFonts w:asciiTheme="minorHAnsi" w:hAnsiTheme="minorHAnsi" w:cstheme="minorHAnsi"/>
                <w:i/>
                <w:snapToGrid w:val="0"/>
                <w:lang w:val="nl-BE"/>
              </w:rPr>
              <w:t>bis</w:t>
            </w:r>
            <w:r w:rsidRPr="00723D75">
              <w:rPr>
                <w:rFonts w:asciiTheme="minorHAnsi" w:hAnsiTheme="minorHAnsi" w:cstheme="minorHAnsi"/>
                <w:snapToGrid w:val="0"/>
                <w:lang w:val="nl-BE"/>
              </w:rPr>
              <w:t xml:space="preserve">, van de wet betreffende de verplichte verzekering voor geneeskundige verzorging en uitkeringen, gecoördineerd op 14 juli 1994, heeft het Comité van de verzekering voor geneeskundige verzorging op </w:t>
            </w:r>
            <w:r w:rsidR="00554B94">
              <w:rPr>
                <w:rFonts w:asciiTheme="minorHAnsi" w:hAnsiTheme="minorHAnsi" w:cstheme="minorHAnsi"/>
                <w:snapToGrid w:val="0"/>
                <w:lang w:val="nl-BE"/>
              </w:rPr>
              <w:t xml:space="preserve">4 december </w:t>
            </w:r>
            <w:r w:rsidRPr="00723D75">
              <w:rPr>
                <w:rFonts w:asciiTheme="minorHAnsi" w:hAnsiTheme="minorHAnsi" w:cstheme="minorHAnsi"/>
                <w:snapToGrid w:val="0"/>
                <w:lang w:val="nl-BE"/>
              </w:rPr>
              <w:t>2017 de hierna volgende interpretatieregel vastgesteld :</w:t>
            </w:r>
          </w:p>
        </w:tc>
        <w:tc>
          <w:tcPr>
            <w:tcW w:w="4834" w:type="dxa"/>
          </w:tcPr>
          <w:p w:rsidR="003979EA" w:rsidRPr="00723D75" w:rsidRDefault="003979EA" w:rsidP="003F7062">
            <w:pPr>
              <w:ind w:left="275" w:right="260"/>
              <w:jc w:val="both"/>
              <w:rPr>
                <w:rFonts w:ascii="Calibri" w:hAnsi="Calibri" w:cs="Calibri"/>
              </w:rPr>
            </w:pPr>
            <w:r w:rsidRPr="00723D75">
              <w:rPr>
                <w:rFonts w:ascii="Calibri" w:hAnsi="Calibri" w:cs="Calibri"/>
                <w:snapToGrid w:val="0"/>
              </w:rPr>
              <w:t xml:space="preserve">Sur proposition de la </w:t>
            </w:r>
            <w:r w:rsidRPr="003C708D">
              <w:rPr>
                <w:rFonts w:ascii="Calibri" w:hAnsi="Calibri" w:cs="Calibri"/>
                <w:snapToGrid w:val="0"/>
              </w:rPr>
              <w:t xml:space="preserve">Commission de conventions pharmaciens-organismes assureurs </w:t>
            </w:r>
            <w:r w:rsidRPr="00723D75">
              <w:rPr>
                <w:rFonts w:ascii="Calibri" w:hAnsi="Calibri" w:cs="Calibri"/>
                <w:snapToGrid w:val="0"/>
              </w:rPr>
              <w:t xml:space="preserve">du </w:t>
            </w:r>
            <w:r w:rsidR="00812516">
              <w:rPr>
                <w:rFonts w:ascii="Calibri" w:hAnsi="Calibri" w:cs="Calibri"/>
                <w:snapToGrid w:val="0"/>
              </w:rPr>
              <w:t xml:space="preserve">24 novembre </w:t>
            </w:r>
            <w:r w:rsidRPr="00723D75">
              <w:rPr>
                <w:rFonts w:ascii="Calibri" w:hAnsi="Calibri" w:cs="Calibri"/>
                <w:snapToGrid w:val="0"/>
              </w:rPr>
              <w:t>2017 et en application de l’article 22, 4°</w:t>
            </w:r>
            <w:r w:rsidRPr="00723D75">
              <w:rPr>
                <w:rFonts w:ascii="Calibri" w:hAnsi="Calibri" w:cs="Calibri"/>
                <w:i/>
                <w:snapToGrid w:val="0"/>
              </w:rPr>
              <w:t xml:space="preserve">bis </w:t>
            </w:r>
            <w:r w:rsidRPr="00723D75">
              <w:rPr>
                <w:rFonts w:ascii="Calibri" w:hAnsi="Calibri" w:cs="Calibri"/>
                <w:snapToGrid w:val="0"/>
              </w:rPr>
              <w:t xml:space="preserve">de la loi relative à l’assurance obligatoire soins de santé et indemnités, coordonnée le 14 juillet 1994, le Comité de l’assurance soins de santé a établi le </w:t>
            </w:r>
            <w:r w:rsidR="003F7062">
              <w:rPr>
                <w:rFonts w:ascii="Calibri" w:hAnsi="Calibri" w:cs="Calibri"/>
                <w:snapToGrid w:val="0"/>
              </w:rPr>
              <w:t xml:space="preserve">4 décembre </w:t>
            </w:r>
            <w:r w:rsidRPr="00723D75">
              <w:rPr>
                <w:rFonts w:ascii="Calibri" w:hAnsi="Calibri" w:cs="Calibri"/>
                <w:snapToGrid w:val="0"/>
              </w:rPr>
              <w:t>2017 la règle interprétative suivante:</w:t>
            </w:r>
          </w:p>
        </w:tc>
      </w:tr>
      <w:tr w:rsidR="003979EA" w:rsidRPr="00EB14A1" w:rsidTr="00302D96">
        <w:tc>
          <w:tcPr>
            <w:tcW w:w="4834" w:type="dxa"/>
            <w:shd w:val="clear" w:color="auto" w:fill="auto"/>
          </w:tcPr>
          <w:p w:rsidR="003979EA" w:rsidRPr="003303C3" w:rsidRDefault="003979EA" w:rsidP="00302D96">
            <w:pPr>
              <w:ind w:right="217"/>
              <w:rPr>
                <w:rFonts w:asciiTheme="minorHAnsi" w:hAnsiTheme="minorHAnsi" w:cstheme="minorHAnsi"/>
                <w:lang w:val="fr-BE"/>
              </w:rPr>
            </w:pPr>
          </w:p>
        </w:tc>
        <w:tc>
          <w:tcPr>
            <w:tcW w:w="4834" w:type="dxa"/>
          </w:tcPr>
          <w:p w:rsidR="003979EA" w:rsidRPr="00FF6138" w:rsidRDefault="003979EA" w:rsidP="00302D96">
            <w:pPr>
              <w:ind w:left="275" w:right="260"/>
              <w:rPr>
                <w:rFonts w:ascii="Calibri" w:hAnsi="Calibri" w:cs="Calibri"/>
              </w:rPr>
            </w:pPr>
          </w:p>
        </w:tc>
      </w:tr>
      <w:tr w:rsidR="003979EA" w:rsidRPr="00EB14A1" w:rsidTr="00302D96">
        <w:tc>
          <w:tcPr>
            <w:tcW w:w="4834" w:type="dxa"/>
            <w:shd w:val="clear" w:color="auto" w:fill="auto"/>
          </w:tcPr>
          <w:p w:rsidR="003979EA" w:rsidRPr="003303C3" w:rsidRDefault="003979EA" w:rsidP="00302D96">
            <w:pPr>
              <w:ind w:left="34" w:right="260"/>
              <w:jc w:val="both"/>
              <w:rPr>
                <w:rFonts w:asciiTheme="minorHAnsi" w:hAnsiTheme="minorHAnsi" w:cstheme="minorHAnsi"/>
                <w:snapToGrid w:val="0"/>
                <w:lang w:val="nl-BE"/>
              </w:rPr>
            </w:pPr>
            <w:r w:rsidRPr="003303C3">
              <w:rPr>
                <w:rFonts w:asciiTheme="minorHAnsi" w:hAnsiTheme="minorHAnsi" w:cstheme="minorHAnsi"/>
                <w:snapToGrid w:val="0"/>
                <w:lang w:val="nl-BE"/>
              </w:rPr>
              <w:t xml:space="preserve">Interpretatieve regel voor de terugbetaling van </w:t>
            </w:r>
            <w:r>
              <w:rPr>
                <w:rFonts w:asciiTheme="minorHAnsi" w:hAnsiTheme="minorHAnsi" w:cstheme="minorHAnsi"/>
                <w:snapToGrid w:val="0"/>
                <w:lang w:val="nl-BE"/>
              </w:rPr>
              <w:t xml:space="preserve">parenterale voeding </w:t>
            </w:r>
            <w:r w:rsidRPr="00353EF0">
              <w:rPr>
                <w:rFonts w:asciiTheme="minorHAnsi" w:hAnsiTheme="minorHAnsi" w:cstheme="minorHAnsi"/>
                <w:snapToGrid w:val="0"/>
                <w:lang w:val="nl-BE"/>
              </w:rPr>
              <w:t>voor ambulante niet in het ziekenhuis opgenomen rechthebbenden</w:t>
            </w:r>
          </w:p>
          <w:p w:rsidR="003979EA" w:rsidRPr="003303C3" w:rsidRDefault="003979EA" w:rsidP="00302D96">
            <w:pPr>
              <w:ind w:left="275" w:right="260"/>
              <w:jc w:val="both"/>
              <w:rPr>
                <w:rFonts w:asciiTheme="minorHAnsi" w:hAnsiTheme="minorHAnsi" w:cstheme="minorHAnsi"/>
                <w:snapToGrid w:val="0"/>
                <w:lang w:val="nl-BE"/>
              </w:rPr>
            </w:pPr>
          </w:p>
        </w:tc>
        <w:tc>
          <w:tcPr>
            <w:tcW w:w="4834" w:type="dxa"/>
          </w:tcPr>
          <w:p w:rsidR="003979EA" w:rsidRPr="00FF6138" w:rsidRDefault="003979EA" w:rsidP="00302D96">
            <w:pPr>
              <w:ind w:left="275" w:right="260"/>
              <w:jc w:val="both"/>
              <w:rPr>
                <w:rFonts w:ascii="Calibri" w:hAnsi="Calibri" w:cs="Calibri"/>
                <w:snapToGrid w:val="0"/>
              </w:rPr>
            </w:pPr>
            <w:r w:rsidRPr="00FF6138">
              <w:rPr>
                <w:rFonts w:ascii="Calibri" w:hAnsi="Calibri" w:cs="Calibri"/>
                <w:snapToGrid w:val="0"/>
              </w:rPr>
              <w:t xml:space="preserve">Règle interprétative pour le remboursement </w:t>
            </w:r>
            <w:r>
              <w:rPr>
                <w:rFonts w:ascii="Calibri" w:hAnsi="Calibri" w:cs="Calibri"/>
                <w:snapToGrid w:val="0"/>
              </w:rPr>
              <w:t>de la nutrition parentérale pour les bénéficiaires non hospitalisés</w:t>
            </w:r>
          </w:p>
        </w:tc>
      </w:tr>
      <w:tr w:rsidR="003979EA" w:rsidRPr="00EB14A1" w:rsidTr="00302D96">
        <w:tc>
          <w:tcPr>
            <w:tcW w:w="4834" w:type="dxa"/>
            <w:shd w:val="clear" w:color="auto" w:fill="auto"/>
          </w:tcPr>
          <w:p w:rsidR="003979EA" w:rsidRPr="00DE489F" w:rsidRDefault="003979EA" w:rsidP="00302D96">
            <w:pPr>
              <w:pStyle w:val="Default"/>
              <w:rPr>
                <w:rFonts w:asciiTheme="minorHAnsi" w:hAnsiTheme="minorHAnsi" w:cstheme="minorHAnsi"/>
                <w:sz w:val="20"/>
                <w:szCs w:val="20"/>
                <w:lang w:val="fr-BE"/>
              </w:rPr>
            </w:pPr>
          </w:p>
          <w:tbl>
            <w:tblPr>
              <w:tblW w:w="0" w:type="auto"/>
              <w:tblBorders>
                <w:top w:val="nil"/>
                <w:left w:val="nil"/>
                <w:bottom w:val="nil"/>
                <w:right w:val="nil"/>
              </w:tblBorders>
              <w:tblLayout w:type="fixed"/>
              <w:tblLook w:val="0000" w:firstRow="0" w:lastRow="0" w:firstColumn="0" w:lastColumn="0" w:noHBand="0" w:noVBand="0"/>
            </w:tblPr>
            <w:tblGrid>
              <w:gridCol w:w="4237"/>
            </w:tblGrid>
            <w:tr w:rsidR="003979EA" w:rsidRPr="007A075B" w:rsidTr="00302D96">
              <w:trPr>
                <w:trHeight w:val="1347"/>
              </w:trPr>
              <w:tc>
                <w:tcPr>
                  <w:tcW w:w="4237" w:type="dxa"/>
                </w:tcPr>
                <w:p w:rsidR="003979EA" w:rsidRPr="00DE489F" w:rsidRDefault="003979EA" w:rsidP="00302D96">
                  <w:pPr>
                    <w:pStyle w:val="Default"/>
                    <w:jc w:val="both"/>
                    <w:rPr>
                      <w:rFonts w:asciiTheme="minorHAnsi" w:hAnsiTheme="minorHAnsi" w:cstheme="minorHAnsi"/>
                      <w:snapToGrid w:val="0"/>
                      <w:color w:val="auto"/>
                      <w:sz w:val="20"/>
                      <w:szCs w:val="20"/>
                      <w:u w:val="single"/>
                      <w:lang w:val="nl-BE"/>
                    </w:rPr>
                  </w:pPr>
                  <w:r w:rsidRPr="00DE489F">
                    <w:rPr>
                      <w:rFonts w:asciiTheme="minorHAnsi" w:hAnsiTheme="minorHAnsi" w:cstheme="minorHAnsi"/>
                      <w:snapToGrid w:val="0"/>
                      <w:color w:val="auto"/>
                      <w:sz w:val="20"/>
                      <w:szCs w:val="20"/>
                      <w:u w:val="single"/>
                      <w:lang w:val="nl-BE"/>
                    </w:rPr>
                    <w:t xml:space="preserve">Vraag: </w:t>
                  </w: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r w:rsidRPr="00DE489F">
                    <w:rPr>
                      <w:rFonts w:asciiTheme="minorHAnsi" w:hAnsiTheme="minorHAnsi" w:cstheme="minorHAnsi"/>
                      <w:snapToGrid w:val="0"/>
                      <w:color w:val="auto"/>
                      <w:sz w:val="20"/>
                      <w:szCs w:val="20"/>
                      <w:lang w:val="nl-BE"/>
                    </w:rPr>
                    <w:t>Kan een toestemming voor vergoeding voor parenterale voeding voor gebruik thuis verdergezet worden indien de patiënt enkel nog nood heeft aan zakjes elektrolyten?</w:t>
                  </w:r>
                </w:p>
              </w:tc>
            </w:tr>
          </w:tbl>
          <w:p w:rsidR="003979EA" w:rsidRPr="00DE489F" w:rsidRDefault="003979EA" w:rsidP="00302D96">
            <w:pPr>
              <w:jc w:val="both"/>
              <w:rPr>
                <w:rFonts w:asciiTheme="minorHAnsi" w:hAnsiTheme="minorHAnsi" w:cstheme="minorHAnsi"/>
                <w:bCs/>
                <w:iCs/>
                <w:spacing w:val="-2"/>
                <w:lang w:val="nl-BE"/>
              </w:rPr>
            </w:pPr>
          </w:p>
        </w:tc>
        <w:tc>
          <w:tcPr>
            <w:tcW w:w="4834" w:type="dxa"/>
          </w:tcPr>
          <w:p w:rsidR="003979EA" w:rsidRPr="00DE489F" w:rsidRDefault="003979EA" w:rsidP="00302D96">
            <w:pPr>
              <w:autoSpaceDE w:val="0"/>
              <w:autoSpaceDN w:val="0"/>
              <w:adjustRightInd w:val="0"/>
              <w:rPr>
                <w:rFonts w:ascii="Calibri" w:hAnsi="Calibri" w:cs="Calibri"/>
                <w:color w:val="000000"/>
                <w:lang w:val="nl-BE"/>
              </w:rPr>
            </w:pPr>
          </w:p>
          <w:tbl>
            <w:tblPr>
              <w:tblW w:w="0" w:type="auto"/>
              <w:tblBorders>
                <w:top w:val="nil"/>
                <w:left w:val="nil"/>
                <w:bottom w:val="nil"/>
                <w:right w:val="nil"/>
              </w:tblBorders>
              <w:tblLayout w:type="fixed"/>
              <w:tblLook w:val="0000" w:firstRow="0" w:lastRow="0" w:firstColumn="0" w:lastColumn="0" w:noHBand="0" w:noVBand="0"/>
            </w:tblPr>
            <w:tblGrid>
              <w:gridCol w:w="4357"/>
            </w:tblGrid>
            <w:tr w:rsidR="003979EA" w:rsidRPr="00DE489F" w:rsidTr="00302D96">
              <w:trPr>
                <w:trHeight w:val="1500"/>
              </w:trPr>
              <w:tc>
                <w:tcPr>
                  <w:tcW w:w="4357" w:type="dxa"/>
                </w:tcPr>
                <w:p w:rsidR="003979EA" w:rsidRPr="00DE489F" w:rsidRDefault="003979EA" w:rsidP="00302D96">
                  <w:pPr>
                    <w:autoSpaceDE w:val="0"/>
                    <w:autoSpaceDN w:val="0"/>
                    <w:adjustRightInd w:val="0"/>
                    <w:jc w:val="both"/>
                    <w:rPr>
                      <w:rFonts w:ascii="Calibri" w:hAnsi="Calibri" w:cs="Calibri"/>
                      <w:snapToGrid w:val="0"/>
                      <w:u w:val="single"/>
                    </w:rPr>
                  </w:pPr>
                  <w:r w:rsidRPr="00DE489F">
                    <w:rPr>
                      <w:rFonts w:ascii="Calibri" w:hAnsi="Calibri" w:cs="Calibri"/>
                      <w:snapToGrid w:val="0"/>
                      <w:u w:val="single"/>
                    </w:rPr>
                    <w:t xml:space="preserve">Question: </w:t>
                  </w:r>
                </w:p>
                <w:p w:rsidR="003979EA" w:rsidRPr="00DE489F" w:rsidRDefault="003979EA" w:rsidP="00302D96">
                  <w:pPr>
                    <w:autoSpaceDE w:val="0"/>
                    <w:autoSpaceDN w:val="0"/>
                    <w:adjustRightInd w:val="0"/>
                    <w:jc w:val="both"/>
                    <w:rPr>
                      <w:rFonts w:ascii="Calibri" w:hAnsi="Calibri" w:cs="Calibri"/>
                      <w:color w:val="000000"/>
                    </w:rPr>
                  </w:pPr>
                </w:p>
                <w:p w:rsidR="003979EA" w:rsidRPr="00DE489F" w:rsidRDefault="003979EA" w:rsidP="00302D96">
                  <w:pPr>
                    <w:autoSpaceDE w:val="0"/>
                    <w:autoSpaceDN w:val="0"/>
                    <w:adjustRightInd w:val="0"/>
                    <w:jc w:val="both"/>
                    <w:rPr>
                      <w:rFonts w:ascii="Calibri" w:hAnsi="Calibri" w:cs="Calibri"/>
                      <w:color w:val="000000"/>
                    </w:rPr>
                  </w:pPr>
                  <w:r w:rsidRPr="00DE489F">
                    <w:rPr>
                      <w:rFonts w:ascii="Calibri" w:hAnsi="Calibri" w:cs="Calibri"/>
                      <w:color w:val="000000"/>
                    </w:rPr>
                    <w:t>Une autorisation de remboursement pour la nutrition parentérale à domicile peut-elle être prolongée si le patient ne nécessite plus que des poches d’électrolytes ?</w:t>
                  </w:r>
                </w:p>
              </w:tc>
            </w:tr>
          </w:tbl>
          <w:p w:rsidR="003979EA" w:rsidRPr="00DE489F" w:rsidRDefault="003979EA" w:rsidP="00302D96">
            <w:pPr>
              <w:jc w:val="both"/>
              <w:rPr>
                <w:rFonts w:ascii="Calibri" w:hAnsi="Calibri" w:cs="Calibri"/>
                <w:bCs/>
                <w:iCs/>
                <w:spacing w:val="-2"/>
              </w:rPr>
            </w:pPr>
          </w:p>
        </w:tc>
      </w:tr>
      <w:tr w:rsidR="003979EA" w:rsidRPr="00EB14A1" w:rsidTr="00302D96">
        <w:tc>
          <w:tcPr>
            <w:tcW w:w="4834" w:type="dxa"/>
            <w:shd w:val="clear" w:color="auto" w:fill="auto"/>
          </w:tcPr>
          <w:p w:rsidR="003979EA" w:rsidRPr="00DE489F" w:rsidRDefault="003979EA" w:rsidP="00302D96">
            <w:pPr>
              <w:jc w:val="both"/>
              <w:rPr>
                <w:rFonts w:asciiTheme="minorHAnsi" w:hAnsiTheme="minorHAnsi" w:cstheme="minorHAnsi"/>
                <w:bCs/>
                <w:iCs/>
                <w:spacing w:val="-2"/>
                <w:lang w:val="fr-BE"/>
              </w:rPr>
            </w:pPr>
          </w:p>
        </w:tc>
        <w:tc>
          <w:tcPr>
            <w:tcW w:w="4834" w:type="dxa"/>
          </w:tcPr>
          <w:p w:rsidR="003979EA" w:rsidRPr="00DE489F" w:rsidRDefault="003979EA" w:rsidP="00302D96">
            <w:pPr>
              <w:autoSpaceDE w:val="0"/>
              <w:autoSpaceDN w:val="0"/>
              <w:adjustRightInd w:val="0"/>
              <w:jc w:val="both"/>
              <w:rPr>
                <w:rFonts w:ascii="Calibri" w:hAnsi="Calibri" w:cs="Calibri"/>
                <w:lang w:val="fr-BE"/>
              </w:rPr>
            </w:pPr>
          </w:p>
        </w:tc>
      </w:tr>
      <w:tr w:rsidR="003979EA" w:rsidRPr="00EB14A1" w:rsidTr="00302D96">
        <w:tc>
          <w:tcPr>
            <w:tcW w:w="4834" w:type="dxa"/>
            <w:shd w:val="clear" w:color="auto" w:fill="auto"/>
          </w:tcPr>
          <w:p w:rsidR="003979EA" w:rsidRPr="00DE489F" w:rsidRDefault="003979EA" w:rsidP="00302D96">
            <w:pPr>
              <w:pStyle w:val="Default"/>
              <w:rPr>
                <w:rFonts w:asciiTheme="minorHAnsi" w:hAnsiTheme="minorHAnsi" w:cstheme="minorHAnsi"/>
                <w:sz w:val="20"/>
                <w:szCs w:val="20"/>
                <w:lang w:val="fr-BE"/>
              </w:rPr>
            </w:pPr>
          </w:p>
          <w:tbl>
            <w:tblPr>
              <w:tblW w:w="0" w:type="auto"/>
              <w:tblBorders>
                <w:top w:val="nil"/>
                <w:left w:val="nil"/>
                <w:bottom w:val="nil"/>
                <w:right w:val="nil"/>
              </w:tblBorders>
              <w:tblLayout w:type="fixed"/>
              <w:tblLook w:val="0000" w:firstRow="0" w:lastRow="0" w:firstColumn="0" w:lastColumn="0" w:noHBand="0" w:noVBand="0"/>
            </w:tblPr>
            <w:tblGrid>
              <w:gridCol w:w="4261"/>
            </w:tblGrid>
            <w:tr w:rsidR="003979EA" w:rsidRPr="007A075B" w:rsidTr="00302D96">
              <w:trPr>
                <w:trHeight w:val="2112"/>
              </w:trPr>
              <w:tc>
                <w:tcPr>
                  <w:tcW w:w="4261" w:type="dxa"/>
                </w:tcPr>
                <w:p w:rsidR="003979EA" w:rsidRPr="00DE489F" w:rsidRDefault="003979EA" w:rsidP="00302D96">
                  <w:pPr>
                    <w:pStyle w:val="Default"/>
                    <w:jc w:val="both"/>
                    <w:rPr>
                      <w:rFonts w:asciiTheme="minorHAnsi" w:hAnsiTheme="minorHAnsi" w:cstheme="minorHAnsi"/>
                      <w:snapToGrid w:val="0"/>
                      <w:color w:val="auto"/>
                      <w:sz w:val="20"/>
                      <w:szCs w:val="20"/>
                      <w:u w:val="single"/>
                      <w:lang w:val="nl-BE"/>
                    </w:rPr>
                  </w:pPr>
                  <w:r w:rsidRPr="00DE489F">
                    <w:rPr>
                      <w:rFonts w:asciiTheme="minorHAnsi" w:hAnsiTheme="minorHAnsi" w:cstheme="minorHAnsi"/>
                      <w:snapToGrid w:val="0"/>
                      <w:color w:val="auto"/>
                      <w:sz w:val="20"/>
                      <w:szCs w:val="20"/>
                      <w:u w:val="single"/>
                      <w:lang w:val="nl-BE"/>
                    </w:rPr>
                    <w:t xml:space="preserve">Antwoord : </w:t>
                  </w:r>
                </w:p>
                <w:p w:rsidR="003979EA" w:rsidRPr="00DE489F" w:rsidRDefault="003979EA" w:rsidP="00302D96">
                  <w:pPr>
                    <w:pStyle w:val="Default"/>
                    <w:jc w:val="both"/>
                    <w:rPr>
                      <w:rFonts w:asciiTheme="minorHAnsi" w:hAnsiTheme="minorHAnsi" w:cstheme="minorHAnsi"/>
                      <w:snapToGrid w:val="0"/>
                      <w:color w:val="auto"/>
                      <w:sz w:val="20"/>
                      <w:szCs w:val="20"/>
                      <w:lang w:val="nl-BE"/>
                    </w:rPr>
                  </w:pPr>
                  <w:r w:rsidRPr="00DE489F">
                    <w:rPr>
                      <w:rFonts w:asciiTheme="minorHAnsi" w:hAnsiTheme="minorHAnsi" w:cstheme="minorHAnsi"/>
                      <w:snapToGrid w:val="0"/>
                      <w:color w:val="auto"/>
                      <w:sz w:val="20"/>
                      <w:szCs w:val="20"/>
                      <w:lang w:val="nl-BE"/>
                    </w:rPr>
                    <w:t>Patiënten die beschikken over een toestemming voor vergoeding van parenterale voeding voor gebruik thuis, overeenkomstig het KB van 20.07.2007, kunnen een verderzetting van deze toestemming voor vergoeding van parenterale voeding voor gebruik thuis krijgen indien ze enkel nog zakjes elektrolyten (moeten) krijgen.</w:t>
                  </w:r>
                </w:p>
                <w:p w:rsidR="003979EA"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r w:rsidRPr="00DE489F">
                    <w:rPr>
                      <w:rFonts w:asciiTheme="minorHAnsi" w:hAnsiTheme="minorHAnsi" w:cstheme="minorHAnsi"/>
                      <w:snapToGrid w:val="0"/>
                      <w:color w:val="auto"/>
                      <w:sz w:val="20"/>
                      <w:szCs w:val="20"/>
                      <w:lang w:val="nl-BE"/>
                    </w:rPr>
                    <w:t>Voor aanvragen tot verderzetting dient de arts-specialist een aanvraag in op basis van het model opgenomen in de bijlage van het KB van 20.07.2007. Indien de patiënt enkel nog nood heeft aan zakjes elektrolyten, selecteert de arts in de rubriek ‘type zakjes’, het type van zakjes dat de patiënt reeds gebruikte.</w:t>
                  </w: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r w:rsidRPr="00DE489F">
                    <w:rPr>
                      <w:rFonts w:asciiTheme="minorHAnsi" w:hAnsiTheme="minorHAnsi" w:cstheme="minorHAnsi"/>
                      <w:snapToGrid w:val="0"/>
                      <w:color w:val="auto"/>
                      <w:sz w:val="20"/>
                      <w:szCs w:val="20"/>
                      <w:lang w:val="nl-BE"/>
                    </w:rPr>
                    <w:t>Patiënten die niet beschikken over een toestemming voor vergoeding voor parenterale voeding voor gebruik thuis, overeenkomstig het KB van 20.07.2007, kunnen geen toestemming voor vergoeding krijgen van enkel elektrolyten.</w:t>
                  </w: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302D96">
                  <w:pPr>
                    <w:pStyle w:val="Default"/>
                    <w:jc w:val="both"/>
                    <w:rPr>
                      <w:rFonts w:asciiTheme="minorHAnsi" w:hAnsiTheme="minorHAnsi" w:cstheme="minorHAnsi"/>
                      <w:snapToGrid w:val="0"/>
                      <w:color w:val="auto"/>
                      <w:sz w:val="20"/>
                      <w:szCs w:val="20"/>
                      <w:lang w:val="nl-BE"/>
                    </w:rPr>
                  </w:pPr>
                </w:p>
                <w:p w:rsidR="003979EA" w:rsidRPr="00DE489F" w:rsidRDefault="003979EA" w:rsidP="006D5204">
                  <w:pPr>
                    <w:pStyle w:val="Default"/>
                    <w:jc w:val="both"/>
                    <w:rPr>
                      <w:rFonts w:asciiTheme="minorHAnsi" w:hAnsiTheme="minorHAnsi" w:cstheme="minorHAnsi"/>
                      <w:sz w:val="20"/>
                      <w:szCs w:val="20"/>
                      <w:lang w:val="nl-BE"/>
                    </w:rPr>
                  </w:pPr>
                  <w:r w:rsidRPr="00DE489F">
                    <w:rPr>
                      <w:rFonts w:asciiTheme="minorHAnsi" w:hAnsiTheme="minorHAnsi" w:cstheme="minorHAnsi"/>
                      <w:snapToGrid w:val="0"/>
                      <w:color w:val="auto"/>
                      <w:sz w:val="20"/>
                      <w:szCs w:val="20"/>
                      <w:lang w:val="nl-BE"/>
                    </w:rPr>
                    <w:t xml:space="preserve">De voorgenoemde interpretatieregel treedt in werking </w:t>
                  </w:r>
                  <w:r w:rsidRPr="00812516">
                    <w:rPr>
                      <w:rFonts w:asciiTheme="minorHAnsi" w:hAnsiTheme="minorHAnsi" w:cstheme="minorHAnsi"/>
                      <w:snapToGrid w:val="0"/>
                      <w:color w:val="auto"/>
                      <w:sz w:val="20"/>
                      <w:szCs w:val="20"/>
                      <w:lang w:val="nl-BE"/>
                    </w:rPr>
                    <w:t>op 1 j</w:t>
                  </w:r>
                  <w:r w:rsidR="006D5204" w:rsidRPr="00812516">
                    <w:rPr>
                      <w:rFonts w:asciiTheme="minorHAnsi" w:hAnsiTheme="minorHAnsi" w:cstheme="minorHAnsi"/>
                      <w:snapToGrid w:val="0"/>
                      <w:color w:val="auto"/>
                      <w:sz w:val="20"/>
                      <w:szCs w:val="20"/>
                      <w:lang w:val="nl-BE"/>
                    </w:rPr>
                    <w:t xml:space="preserve">anuari </w:t>
                  </w:r>
                  <w:r w:rsidRPr="00812516">
                    <w:rPr>
                      <w:rFonts w:asciiTheme="minorHAnsi" w:hAnsiTheme="minorHAnsi" w:cstheme="minorHAnsi"/>
                      <w:snapToGrid w:val="0"/>
                      <w:color w:val="auto"/>
                      <w:sz w:val="20"/>
                      <w:szCs w:val="20"/>
                      <w:lang w:val="nl-BE"/>
                    </w:rPr>
                    <w:t>201</w:t>
                  </w:r>
                  <w:r w:rsidR="00302D96" w:rsidRPr="00812516">
                    <w:rPr>
                      <w:rFonts w:asciiTheme="minorHAnsi" w:hAnsiTheme="minorHAnsi" w:cstheme="minorHAnsi"/>
                      <w:snapToGrid w:val="0"/>
                      <w:color w:val="auto"/>
                      <w:sz w:val="20"/>
                      <w:szCs w:val="20"/>
                      <w:lang w:val="nl-BE"/>
                    </w:rPr>
                    <w:t>8</w:t>
                  </w:r>
                  <w:r w:rsidRPr="00812516">
                    <w:rPr>
                      <w:rFonts w:asciiTheme="minorHAnsi" w:hAnsiTheme="minorHAnsi" w:cstheme="minorHAnsi"/>
                      <w:snapToGrid w:val="0"/>
                      <w:color w:val="auto"/>
                      <w:sz w:val="20"/>
                      <w:szCs w:val="20"/>
                      <w:lang w:val="nl-BE"/>
                    </w:rPr>
                    <w:t>.</w:t>
                  </w:r>
                  <w:r w:rsidRPr="00DE489F">
                    <w:rPr>
                      <w:rFonts w:asciiTheme="minorHAnsi" w:hAnsiTheme="minorHAnsi" w:cstheme="minorHAnsi"/>
                      <w:sz w:val="20"/>
                      <w:szCs w:val="20"/>
                      <w:lang w:val="nl-BE"/>
                    </w:rPr>
                    <w:t xml:space="preserve"> </w:t>
                  </w:r>
                </w:p>
              </w:tc>
            </w:tr>
          </w:tbl>
          <w:p w:rsidR="003979EA" w:rsidRPr="00DE489F" w:rsidRDefault="003979EA" w:rsidP="00302D96">
            <w:pPr>
              <w:jc w:val="both"/>
              <w:rPr>
                <w:rFonts w:asciiTheme="minorHAnsi" w:hAnsiTheme="minorHAnsi" w:cstheme="minorHAnsi"/>
                <w:lang w:val="nl-BE"/>
              </w:rPr>
            </w:pPr>
          </w:p>
        </w:tc>
        <w:tc>
          <w:tcPr>
            <w:tcW w:w="4834" w:type="dxa"/>
          </w:tcPr>
          <w:p w:rsidR="003979EA" w:rsidRPr="00DE489F" w:rsidRDefault="003979EA" w:rsidP="00302D96">
            <w:pPr>
              <w:autoSpaceDE w:val="0"/>
              <w:autoSpaceDN w:val="0"/>
              <w:adjustRightInd w:val="0"/>
              <w:rPr>
                <w:rFonts w:ascii="Calibri" w:hAnsi="Calibri" w:cs="Calibri"/>
                <w:color w:val="000000"/>
                <w:lang w:val="nl-BE"/>
              </w:rPr>
            </w:pPr>
          </w:p>
          <w:tbl>
            <w:tblPr>
              <w:tblW w:w="0" w:type="auto"/>
              <w:tblBorders>
                <w:top w:val="nil"/>
                <w:left w:val="nil"/>
                <w:bottom w:val="nil"/>
                <w:right w:val="nil"/>
              </w:tblBorders>
              <w:tblLayout w:type="fixed"/>
              <w:tblLook w:val="0000" w:firstRow="0" w:lastRow="0" w:firstColumn="0" w:lastColumn="0" w:noHBand="0" w:noVBand="0"/>
            </w:tblPr>
            <w:tblGrid>
              <w:gridCol w:w="4312"/>
            </w:tblGrid>
            <w:tr w:rsidR="003979EA" w:rsidRPr="00DE489F" w:rsidTr="00302D96">
              <w:trPr>
                <w:trHeight w:val="987"/>
              </w:trPr>
              <w:tc>
                <w:tcPr>
                  <w:tcW w:w="4312" w:type="dxa"/>
                </w:tcPr>
                <w:p w:rsidR="003979EA" w:rsidRPr="00DE489F" w:rsidRDefault="003979EA" w:rsidP="00302D96">
                  <w:pPr>
                    <w:autoSpaceDE w:val="0"/>
                    <w:autoSpaceDN w:val="0"/>
                    <w:adjustRightInd w:val="0"/>
                    <w:jc w:val="both"/>
                    <w:rPr>
                      <w:rFonts w:ascii="Calibri" w:hAnsi="Calibri" w:cs="Calibri"/>
                      <w:snapToGrid w:val="0"/>
                      <w:u w:val="single"/>
                    </w:rPr>
                  </w:pPr>
                  <w:r w:rsidRPr="00DE489F">
                    <w:rPr>
                      <w:rFonts w:ascii="Calibri" w:hAnsi="Calibri" w:cs="Calibri"/>
                      <w:snapToGrid w:val="0"/>
                      <w:u w:val="single"/>
                    </w:rPr>
                    <w:t xml:space="preserve">Réponse: </w:t>
                  </w:r>
                </w:p>
                <w:p w:rsidR="003979EA" w:rsidRPr="00DE489F" w:rsidRDefault="003979EA" w:rsidP="00302D96">
                  <w:pPr>
                    <w:pStyle w:val="Default"/>
                    <w:jc w:val="both"/>
                    <w:rPr>
                      <w:rFonts w:asciiTheme="minorHAnsi" w:hAnsiTheme="minorHAnsi" w:cstheme="minorHAnsi"/>
                      <w:snapToGrid w:val="0"/>
                      <w:color w:val="auto"/>
                      <w:sz w:val="20"/>
                      <w:szCs w:val="20"/>
                      <w:lang w:val="fr-BE"/>
                    </w:rPr>
                  </w:pPr>
                  <w:r w:rsidRPr="00DE489F">
                    <w:rPr>
                      <w:rFonts w:asciiTheme="minorHAnsi" w:hAnsiTheme="minorHAnsi" w:cstheme="minorHAnsi"/>
                      <w:snapToGrid w:val="0"/>
                      <w:color w:val="auto"/>
                      <w:sz w:val="20"/>
                      <w:szCs w:val="20"/>
                      <w:lang w:val="fr-BE"/>
                    </w:rPr>
                    <w:t>Les patients qui disposent d’une autorisation de remboursement pour la nutrition parentérale à domicile, conformément à l’AR du 20.07.2007, peuvent obtenir une prolongation de cette autorisation de remboursement de la nutrition parentérale à domicile dans le cas où ils ne reçoivent plus/ne doivent plus recevoir que des poches d’électrolytes.</w:t>
                  </w:r>
                </w:p>
                <w:p w:rsidR="003979EA" w:rsidRPr="00DE489F" w:rsidRDefault="003979EA" w:rsidP="00302D96">
                  <w:pPr>
                    <w:pStyle w:val="Default"/>
                    <w:jc w:val="both"/>
                    <w:rPr>
                      <w:rFonts w:asciiTheme="minorHAnsi" w:hAnsiTheme="minorHAnsi" w:cstheme="minorHAnsi"/>
                      <w:snapToGrid w:val="0"/>
                      <w:color w:val="auto"/>
                      <w:sz w:val="20"/>
                      <w:szCs w:val="20"/>
                      <w:lang w:val="fr-BE"/>
                    </w:rPr>
                  </w:pPr>
                </w:p>
                <w:p w:rsidR="003979EA" w:rsidRPr="00DE489F" w:rsidRDefault="003979EA" w:rsidP="00302D96">
                  <w:pPr>
                    <w:pStyle w:val="Default"/>
                    <w:jc w:val="both"/>
                    <w:rPr>
                      <w:rFonts w:asciiTheme="minorHAnsi" w:hAnsiTheme="minorHAnsi" w:cstheme="minorHAnsi"/>
                      <w:snapToGrid w:val="0"/>
                      <w:color w:val="auto"/>
                      <w:sz w:val="20"/>
                      <w:szCs w:val="20"/>
                      <w:lang w:val="fr-BE"/>
                    </w:rPr>
                  </w:pPr>
                  <w:r w:rsidRPr="00DE489F">
                    <w:rPr>
                      <w:rFonts w:asciiTheme="minorHAnsi" w:hAnsiTheme="minorHAnsi" w:cstheme="minorHAnsi"/>
                      <w:snapToGrid w:val="0"/>
                      <w:color w:val="auto"/>
                      <w:sz w:val="20"/>
                      <w:szCs w:val="20"/>
                      <w:lang w:val="fr-BE"/>
                    </w:rPr>
                    <w:t>Pour les demandes de prolongation, le médecin spécialiste introduit une demande sur base du modèle repris en annexe de l’AR du 20.07.2007. Si le patient ne nécessite plus que des poches d’électrolytes, le médecin sélectionne, dans la rubrique ‘type de poches’, le type de poches que le patient utilisait auparavant.</w:t>
                  </w:r>
                </w:p>
                <w:p w:rsidR="003979EA" w:rsidRPr="00DE489F" w:rsidRDefault="003979EA" w:rsidP="00302D96">
                  <w:pPr>
                    <w:pStyle w:val="Default"/>
                    <w:jc w:val="both"/>
                    <w:rPr>
                      <w:rFonts w:asciiTheme="minorHAnsi" w:hAnsiTheme="minorHAnsi" w:cstheme="minorHAnsi"/>
                      <w:snapToGrid w:val="0"/>
                      <w:color w:val="auto"/>
                      <w:sz w:val="20"/>
                      <w:szCs w:val="20"/>
                      <w:lang w:val="fr-BE"/>
                    </w:rPr>
                  </w:pPr>
                </w:p>
                <w:p w:rsidR="003979EA" w:rsidRPr="00DE489F" w:rsidRDefault="003979EA" w:rsidP="00302D96">
                  <w:pPr>
                    <w:pStyle w:val="Default"/>
                    <w:jc w:val="both"/>
                    <w:rPr>
                      <w:rFonts w:asciiTheme="minorHAnsi" w:hAnsiTheme="minorHAnsi" w:cstheme="minorHAnsi"/>
                      <w:snapToGrid w:val="0"/>
                      <w:color w:val="auto"/>
                      <w:sz w:val="20"/>
                      <w:szCs w:val="20"/>
                      <w:lang w:val="fr-BE"/>
                    </w:rPr>
                  </w:pPr>
                  <w:r w:rsidRPr="00DE489F">
                    <w:rPr>
                      <w:rFonts w:asciiTheme="minorHAnsi" w:hAnsiTheme="minorHAnsi" w:cstheme="minorHAnsi"/>
                      <w:snapToGrid w:val="0"/>
                      <w:color w:val="auto"/>
                      <w:sz w:val="20"/>
                      <w:szCs w:val="20"/>
                      <w:lang w:val="fr-BE"/>
                    </w:rPr>
                    <w:t>Les patients qui ne disposent pas d’une autorisation de remboursement pour la nutrition parentérale à domicile, conformément à l’AR du 20.07.2007, ne peuvent pas obtenir une autorisation pour le remboursement des électrolytes seuls.</w:t>
                  </w:r>
                </w:p>
                <w:p w:rsidR="003979EA" w:rsidRPr="00DE489F" w:rsidRDefault="003979EA" w:rsidP="00302D96">
                  <w:pPr>
                    <w:pStyle w:val="Default"/>
                    <w:jc w:val="both"/>
                    <w:rPr>
                      <w:rFonts w:asciiTheme="minorHAnsi" w:hAnsiTheme="minorHAnsi" w:cstheme="minorHAnsi"/>
                      <w:snapToGrid w:val="0"/>
                      <w:color w:val="auto"/>
                      <w:sz w:val="20"/>
                      <w:szCs w:val="20"/>
                      <w:lang w:val="fr-BE"/>
                    </w:rPr>
                  </w:pPr>
                </w:p>
                <w:p w:rsidR="003979EA" w:rsidRPr="00DE489F" w:rsidRDefault="003979EA" w:rsidP="00302D96">
                  <w:pPr>
                    <w:pStyle w:val="Default"/>
                    <w:jc w:val="both"/>
                    <w:rPr>
                      <w:rFonts w:asciiTheme="minorHAnsi" w:hAnsiTheme="minorHAnsi" w:cstheme="minorHAnsi"/>
                      <w:snapToGrid w:val="0"/>
                      <w:color w:val="auto"/>
                      <w:sz w:val="20"/>
                      <w:szCs w:val="20"/>
                      <w:lang w:val="fr-BE"/>
                    </w:rPr>
                  </w:pPr>
                </w:p>
                <w:p w:rsidR="003979EA" w:rsidRPr="00DE489F" w:rsidRDefault="003979EA" w:rsidP="007A075B">
                  <w:pPr>
                    <w:autoSpaceDE w:val="0"/>
                    <w:autoSpaceDN w:val="0"/>
                    <w:adjustRightInd w:val="0"/>
                    <w:jc w:val="both"/>
                    <w:rPr>
                      <w:rFonts w:ascii="Calibri" w:hAnsi="Calibri" w:cs="Calibri"/>
                      <w:color w:val="000000"/>
                    </w:rPr>
                  </w:pPr>
                  <w:r w:rsidRPr="00DE489F">
                    <w:rPr>
                      <w:rFonts w:ascii="Calibri" w:hAnsi="Calibri" w:cs="Calibri"/>
                      <w:snapToGrid w:val="0"/>
                    </w:rPr>
                    <w:t xml:space="preserve">La règle interprétative précitée prend effet </w:t>
                  </w:r>
                  <w:r w:rsidRPr="00812516">
                    <w:rPr>
                      <w:rFonts w:ascii="Calibri" w:hAnsi="Calibri" w:cs="Calibri"/>
                      <w:snapToGrid w:val="0"/>
                    </w:rPr>
                    <w:t>le 1</w:t>
                  </w:r>
                  <w:r w:rsidRPr="00812516">
                    <w:rPr>
                      <w:rFonts w:ascii="Calibri" w:hAnsi="Calibri" w:cs="Calibri"/>
                      <w:snapToGrid w:val="0"/>
                      <w:vertAlign w:val="superscript"/>
                    </w:rPr>
                    <w:t>er</w:t>
                  </w:r>
                  <w:r w:rsidRPr="00812516">
                    <w:rPr>
                      <w:rFonts w:ascii="Calibri" w:hAnsi="Calibri" w:cs="Calibri"/>
                      <w:snapToGrid w:val="0"/>
                    </w:rPr>
                    <w:t xml:space="preserve"> j</w:t>
                  </w:r>
                  <w:r w:rsidR="00302D96" w:rsidRPr="00812516">
                    <w:rPr>
                      <w:rFonts w:ascii="Calibri" w:hAnsi="Calibri" w:cs="Calibri"/>
                      <w:snapToGrid w:val="0"/>
                    </w:rPr>
                    <w:t>anvier 2018</w:t>
                  </w:r>
                  <w:r w:rsidRPr="00812516">
                    <w:rPr>
                      <w:rFonts w:ascii="Calibri" w:hAnsi="Calibri" w:cs="Calibri"/>
                      <w:snapToGrid w:val="0"/>
                    </w:rPr>
                    <w:t>.</w:t>
                  </w:r>
                  <w:r w:rsidRPr="00DE489F">
                    <w:rPr>
                      <w:rFonts w:ascii="Calibri" w:hAnsi="Calibri" w:cs="Calibri"/>
                      <w:color w:val="000000"/>
                    </w:rPr>
                    <w:t xml:space="preserve"> </w:t>
                  </w:r>
                  <w:bookmarkStart w:id="0" w:name="_GoBack"/>
                  <w:bookmarkEnd w:id="0"/>
                </w:p>
              </w:tc>
            </w:tr>
          </w:tbl>
          <w:p w:rsidR="003979EA" w:rsidRPr="00DE489F" w:rsidRDefault="003979EA" w:rsidP="00302D96">
            <w:pPr>
              <w:jc w:val="both"/>
              <w:rPr>
                <w:rFonts w:ascii="Calibri" w:hAnsi="Calibri" w:cs="Calibri"/>
              </w:rPr>
            </w:pPr>
          </w:p>
        </w:tc>
      </w:tr>
    </w:tbl>
    <w:p w:rsidR="003979EA" w:rsidRDefault="003979EA" w:rsidP="003979EA">
      <w:pPr>
        <w:rPr>
          <w:rFonts w:asciiTheme="minorHAnsi" w:hAnsiTheme="minorHAnsi" w:cstheme="minorHAnsi"/>
          <w:b/>
          <w:sz w:val="24"/>
          <w:u w:val="single"/>
        </w:rPr>
      </w:pPr>
    </w:p>
    <w:sectPr w:rsidR="003979EA" w:rsidSect="003F7062">
      <w:pgSz w:w="11906" w:h="16838"/>
      <w:pgMar w:top="851" w:right="1418" w:bottom="992" w:left="1418" w:header="720" w:footer="16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62" w:rsidRDefault="003F7062">
      <w:r>
        <w:separator/>
      </w:r>
    </w:p>
  </w:endnote>
  <w:endnote w:type="continuationSeparator" w:id="0">
    <w:p w:rsidR="003F7062" w:rsidRDefault="003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62" w:rsidRDefault="003F7062">
      <w:r>
        <w:separator/>
      </w:r>
    </w:p>
  </w:footnote>
  <w:footnote w:type="continuationSeparator" w:id="0">
    <w:p w:rsidR="003F7062" w:rsidRDefault="003F7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906"/>
    <w:multiLevelType w:val="hybridMultilevel"/>
    <w:tmpl w:val="160E6DD8"/>
    <w:lvl w:ilvl="0" w:tplc="080C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32BF1"/>
    <w:multiLevelType w:val="hybridMultilevel"/>
    <w:tmpl w:val="450C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D7756"/>
    <w:multiLevelType w:val="hybridMultilevel"/>
    <w:tmpl w:val="FA5A08A6"/>
    <w:lvl w:ilvl="0" w:tplc="BEE4AF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
    <w:nsid w:val="256E305C"/>
    <w:multiLevelType w:val="hybridMultilevel"/>
    <w:tmpl w:val="39B687BC"/>
    <w:lvl w:ilvl="0" w:tplc="2E1C35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95248"/>
    <w:multiLevelType w:val="hybridMultilevel"/>
    <w:tmpl w:val="D306064A"/>
    <w:lvl w:ilvl="0" w:tplc="95B8176C">
      <w:start w:val="24"/>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F7D5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8">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A1D0679"/>
    <w:multiLevelType w:val="singleLevel"/>
    <w:tmpl w:val="0809000F"/>
    <w:lvl w:ilvl="0">
      <w:start w:val="3"/>
      <w:numFmt w:val="decimal"/>
      <w:lvlText w:val="%1."/>
      <w:lvlJc w:val="left"/>
      <w:pPr>
        <w:tabs>
          <w:tab w:val="num" w:pos="360"/>
        </w:tabs>
        <w:ind w:left="360" w:hanging="360"/>
      </w:pPr>
      <w:rPr>
        <w:rFonts w:hint="default"/>
      </w:rPr>
    </w:lvl>
  </w:abstractNum>
  <w:abstractNum w:abstractNumId="1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2">
    <w:nsid w:val="75411EE9"/>
    <w:multiLevelType w:val="singleLevel"/>
    <w:tmpl w:val="F2789172"/>
    <w:lvl w:ilvl="0">
      <w:start w:val="1"/>
      <w:numFmt w:val="decimal"/>
      <w:lvlText w:val="%1."/>
      <w:lvlJc w:val="left"/>
      <w:pPr>
        <w:tabs>
          <w:tab w:val="num" w:pos="360"/>
        </w:tabs>
        <w:ind w:left="360" w:hanging="360"/>
      </w:pPr>
      <w:rPr>
        <w:rFonts w:hint="default"/>
        <w:b w:val="0"/>
        <w:sz w:val="22"/>
      </w:rPr>
    </w:lvl>
  </w:abstractNum>
  <w:abstractNum w:abstractNumId="13">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14">
    <w:nsid w:val="7A25239F"/>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14"/>
  </w:num>
  <w:num w:numId="3">
    <w:abstractNumId w:val="12"/>
  </w:num>
  <w:num w:numId="4">
    <w:abstractNumId w:val="9"/>
  </w:num>
  <w:num w:numId="5">
    <w:abstractNumId w:val="0"/>
  </w:num>
  <w:num w:numId="6">
    <w:abstractNumId w:val="2"/>
  </w:num>
  <w:num w:numId="7">
    <w:abstractNumId w:val="4"/>
  </w:num>
  <w:num w:numId="8">
    <w:abstractNumId w:val="5"/>
  </w:num>
  <w:num w:numId="9">
    <w:abstractNumId w:val="1"/>
  </w:num>
  <w:num w:numId="10">
    <w:abstractNumId w:val="7"/>
  </w:num>
  <w:num w:numId="11">
    <w:abstractNumId w:val="13"/>
  </w:num>
  <w:num w:numId="12">
    <w:abstractNumId w:val="10"/>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2A"/>
    <w:rsid w:val="0000166D"/>
    <w:rsid w:val="00005627"/>
    <w:rsid w:val="00024047"/>
    <w:rsid w:val="000A26C6"/>
    <w:rsid w:val="000A7F04"/>
    <w:rsid w:val="000B27BC"/>
    <w:rsid w:val="000B3978"/>
    <w:rsid w:val="000B583A"/>
    <w:rsid w:val="000B5A13"/>
    <w:rsid w:val="001034C7"/>
    <w:rsid w:val="001121F7"/>
    <w:rsid w:val="001147FB"/>
    <w:rsid w:val="00120B5D"/>
    <w:rsid w:val="00132D67"/>
    <w:rsid w:val="00133D72"/>
    <w:rsid w:val="00142A9A"/>
    <w:rsid w:val="00154353"/>
    <w:rsid w:val="0015467A"/>
    <w:rsid w:val="001711ED"/>
    <w:rsid w:val="0017257B"/>
    <w:rsid w:val="00174D86"/>
    <w:rsid w:val="00176525"/>
    <w:rsid w:val="001931A6"/>
    <w:rsid w:val="001940A8"/>
    <w:rsid w:val="001C7302"/>
    <w:rsid w:val="001E3D7E"/>
    <w:rsid w:val="001E71FE"/>
    <w:rsid w:val="001F6C6B"/>
    <w:rsid w:val="00215196"/>
    <w:rsid w:val="002347A6"/>
    <w:rsid w:val="00251A2F"/>
    <w:rsid w:val="00260460"/>
    <w:rsid w:val="00291C06"/>
    <w:rsid w:val="002D1805"/>
    <w:rsid w:val="00301539"/>
    <w:rsid w:val="00302D96"/>
    <w:rsid w:val="00307D1E"/>
    <w:rsid w:val="00316848"/>
    <w:rsid w:val="00316C86"/>
    <w:rsid w:val="00346BD9"/>
    <w:rsid w:val="003726B0"/>
    <w:rsid w:val="00391C1A"/>
    <w:rsid w:val="00393728"/>
    <w:rsid w:val="003979EA"/>
    <w:rsid w:val="003D2D65"/>
    <w:rsid w:val="003E1AD8"/>
    <w:rsid w:val="003F2112"/>
    <w:rsid w:val="003F7062"/>
    <w:rsid w:val="00417CB0"/>
    <w:rsid w:val="0043786A"/>
    <w:rsid w:val="00452F22"/>
    <w:rsid w:val="00456E1A"/>
    <w:rsid w:val="004708D7"/>
    <w:rsid w:val="00483161"/>
    <w:rsid w:val="00497612"/>
    <w:rsid w:val="004A7C80"/>
    <w:rsid w:val="004C313C"/>
    <w:rsid w:val="004D5FFD"/>
    <w:rsid w:val="004D760C"/>
    <w:rsid w:val="004E171B"/>
    <w:rsid w:val="005279CA"/>
    <w:rsid w:val="005428FF"/>
    <w:rsid w:val="00554B94"/>
    <w:rsid w:val="00567F50"/>
    <w:rsid w:val="005C1931"/>
    <w:rsid w:val="005E5E49"/>
    <w:rsid w:val="0060168E"/>
    <w:rsid w:val="006113B5"/>
    <w:rsid w:val="00624FE0"/>
    <w:rsid w:val="006316BF"/>
    <w:rsid w:val="006349ED"/>
    <w:rsid w:val="00653282"/>
    <w:rsid w:val="00683B60"/>
    <w:rsid w:val="006A2175"/>
    <w:rsid w:val="006A7D79"/>
    <w:rsid w:val="006B0D3B"/>
    <w:rsid w:val="006B6CA9"/>
    <w:rsid w:val="006C1553"/>
    <w:rsid w:val="006C319A"/>
    <w:rsid w:val="006D5204"/>
    <w:rsid w:val="006F38A8"/>
    <w:rsid w:val="007219E9"/>
    <w:rsid w:val="00725D14"/>
    <w:rsid w:val="0072761B"/>
    <w:rsid w:val="00744D1A"/>
    <w:rsid w:val="007712B9"/>
    <w:rsid w:val="00775512"/>
    <w:rsid w:val="007A075B"/>
    <w:rsid w:val="007C47CE"/>
    <w:rsid w:val="007D01AD"/>
    <w:rsid w:val="007D4493"/>
    <w:rsid w:val="007D593D"/>
    <w:rsid w:val="00806EF1"/>
    <w:rsid w:val="00812516"/>
    <w:rsid w:val="008129A9"/>
    <w:rsid w:val="00846B8B"/>
    <w:rsid w:val="00847395"/>
    <w:rsid w:val="00864B79"/>
    <w:rsid w:val="008B06ED"/>
    <w:rsid w:val="008D2421"/>
    <w:rsid w:val="008E3970"/>
    <w:rsid w:val="008F6431"/>
    <w:rsid w:val="00913646"/>
    <w:rsid w:val="00941683"/>
    <w:rsid w:val="009601AB"/>
    <w:rsid w:val="00960BFD"/>
    <w:rsid w:val="009D2F05"/>
    <w:rsid w:val="00A374C2"/>
    <w:rsid w:val="00A438A0"/>
    <w:rsid w:val="00A45942"/>
    <w:rsid w:val="00AD3072"/>
    <w:rsid w:val="00AF6BDF"/>
    <w:rsid w:val="00AF799A"/>
    <w:rsid w:val="00AF7A10"/>
    <w:rsid w:val="00B0100C"/>
    <w:rsid w:val="00B07A28"/>
    <w:rsid w:val="00B20E72"/>
    <w:rsid w:val="00B25CDB"/>
    <w:rsid w:val="00B32C73"/>
    <w:rsid w:val="00B4455D"/>
    <w:rsid w:val="00B6611D"/>
    <w:rsid w:val="00BA0964"/>
    <w:rsid w:val="00BB24F2"/>
    <w:rsid w:val="00BD2AE6"/>
    <w:rsid w:val="00BE022C"/>
    <w:rsid w:val="00BE57B6"/>
    <w:rsid w:val="00BF1176"/>
    <w:rsid w:val="00C05112"/>
    <w:rsid w:val="00C5797D"/>
    <w:rsid w:val="00C85C1E"/>
    <w:rsid w:val="00C90602"/>
    <w:rsid w:val="00CA0AC6"/>
    <w:rsid w:val="00CA2593"/>
    <w:rsid w:val="00CC64D9"/>
    <w:rsid w:val="00CE034B"/>
    <w:rsid w:val="00CF0C58"/>
    <w:rsid w:val="00CF68A1"/>
    <w:rsid w:val="00D26A29"/>
    <w:rsid w:val="00D40029"/>
    <w:rsid w:val="00D41660"/>
    <w:rsid w:val="00D4427F"/>
    <w:rsid w:val="00D52D48"/>
    <w:rsid w:val="00D758BF"/>
    <w:rsid w:val="00D772DF"/>
    <w:rsid w:val="00D950D4"/>
    <w:rsid w:val="00D96F95"/>
    <w:rsid w:val="00DB004E"/>
    <w:rsid w:val="00DB167D"/>
    <w:rsid w:val="00E1723E"/>
    <w:rsid w:val="00E401E1"/>
    <w:rsid w:val="00E9662A"/>
    <w:rsid w:val="00EA05B3"/>
    <w:rsid w:val="00EF4085"/>
    <w:rsid w:val="00F329DF"/>
    <w:rsid w:val="00F33791"/>
    <w:rsid w:val="00F459DB"/>
    <w:rsid w:val="00F555D3"/>
    <w:rsid w:val="00F7198D"/>
    <w:rsid w:val="00FA7847"/>
    <w:rsid w:val="00FB2901"/>
    <w:rsid w:val="00FB5714"/>
    <w:rsid w:val="00FC6DCC"/>
    <w:rsid w:val="00FD26AA"/>
    <w:rsid w:val="00FD50C5"/>
    <w:rsid w:val="00FE5F80"/>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B5D"/>
    <w:rPr>
      <w:lang w:val="fr-FR"/>
    </w:rPr>
  </w:style>
  <w:style w:type="paragraph" w:styleId="Heading1">
    <w:name w:val="heading 1"/>
    <w:basedOn w:val="Normal"/>
    <w:next w:val="Normal"/>
    <w:qFormat/>
    <w:rsid w:val="00120B5D"/>
    <w:pPr>
      <w:widowControl w:val="0"/>
      <w:tabs>
        <w:tab w:val="left" w:pos="-720"/>
      </w:tabs>
      <w:suppressAutoHyphens/>
      <w:outlineLvl w:val="0"/>
    </w:pPr>
    <w:rPr>
      <w:rFonts w:ascii="Arial" w:hAnsi="Arial"/>
      <w:b/>
      <w:snapToGrid w:val="0"/>
      <w:u w:val="single"/>
    </w:rPr>
  </w:style>
  <w:style w:type="paragraph" w:styleId="Heading2">
    <w:name w:val="heading 2"/>
    <w:basedOn w:val="Normal"/>
    <w:next w:val="Normal"/>
    <w:qFormat/>
    <w:rsid w:val="00120B5D"/>
    <w:pPr>
      <w:keepNext/>
      <w:widowControl w:val="0"/>
      <w:suppressAutoHyphens/>
      <w:outlineLvl w:val="1"/>
    </w:pPr>
    <w:rPr>
      <w:rFonts w:ascii="Courier New" w:hAnsi="Courier New"/>
      <w:b/>
      <w:snapToGrid w:val="0"/>
      <w:lang w:val="nl-NL"/>
    </w:rPr>
  </w:style>
  <w:style w:type="paragraph" w:styleId="Heading3">
    <w:name w:val="heading 3"/>
    <w:basedOn w:val="Normal"/>
    <w:next w:val="Normal"/>
    <w:qFormat/>
    <w:rsid w:val="00120B5D"/>
    <w:pPr>
      <w:keepNext/>
      <w:jc w:val="center"/>
      <w:outlineLvl w:val="2"/>
    </w:pPr>
    <w:rPr>
      <w:rFonts w:ascii="Arial" w:hAnsi="Arial"/>
      <w:b/>
      <w:spacing w:val="-4"/>
      <w:sz w:val="18"/>
    </w:rPr>
  </w:style>
  <w:style w:type="paragraph" w:styleId="Heading4">
    <w:name w:val="heading 4"/>
    <w:basedOn w:val="Normal"/>
    <w:next w:val="Normal"/>
    <w:qFormat/>
    <w:rsid w:val="00120B5D"/>
    <w:pPr>
      <w:keepNext/>
      <w:spacing w:after="120"/>
      <w:jc w:val="both"/>
      <w:outlineLvl w:val="3"/>
    </w:pPr>
    <w:rPr>
      <w:rFonts w:ascii="Arial" w:hAnsi="Arial"/>
      <w:b/>
      <w:color w:val="000080"/>
      <w:sz w:val="22"/>
      <w:u w:val="single"/>
      <w:lang w:val="fr-BE"/>
    </w:rPr>
  </w:style>
  <w:style w:type="paragraph" w:styleId="Heading5">
    <w:name w:val="heading 5"/>
    <w:basedOn w:val="Normal"/>
    <w:next w:val="Normal"/>
    <w:qFormat/>
    <w:rsid w:val="00120B5D"/>
    <w:pPr>
      <w:keepNext/>
      <w:jc w:val="center"/>
      <w:outlineLvl w:val="4"/>
    </w:pPr>
    <w:rPr>
      <w:rFonts w:ascii="Arial" w:hAnsi="Arial"/>
      <w:b/>
      <w:lang w:val="nl-NL"/>
    </w:rPr>
  </w:style>
  <w:style w:type="paragraph" w:styleId="Heading6">
    <w:name w:val="heading 6"/>
    <w:basedOn w:val="Normal"/>
    <w:next w:val="Normal"/>
    <w:link w:val="Heading6Char"/>
    <w:qFormat/>
    <w:rsid w:val="00120B5D"/>
    <w:pPr>
      <w:keepNext/>
      <w:spacing w:after="120"/>
      <w:jc w:val="center"/>
      <w:outlineLvl w:val="5"/>
    </w:pPr>
    <w:rPr>
      <w:rFonts w:ascii="Arial" w:hAnsi="Arial"/>
      <w:b/>
      <w:caps/>
      <w:sz w:val="22"/>
    </w:rPr>
  </w:style>
  <w:style w:type="paragraph" w:styleId="Heading7">
    <w:name w:val="heading 7"/>
    <w:basedOn w:val="Normal"/>
    <w:next w:val="Normal"/>
    <w:link w:val="Heading7Char"/>
    <w:qFormat/>
    <w:rsid w:val="00120B5D"/>
    <w:pPr>
      <w:keepNext/>
      <w:spacing w:after="240"/>
      <w:jc w:val="center"/>
      <w:outlineLvl w:val="6"/>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0B5D"/>
    <w:pPr>
      <w:tabs>
        <w:tab w:val="left" w:pos="1116"/>
      </w:tabs>
      <w:jc w:val="both"/>
    </w:pPr>
    <w:rPr>
      <w:rFonts w:ascii="Arial" w:hAnsi="Arial"/>
      <w:sz w:val="22"/>
    </w:rPr>
  </w:style>
  <w:style w:type="paragraph" w:styleId="Title">
    <w:name w:val="Title"/>
    <w:basedOn w:val="Normal"/>
    <w:link w:val="TitleChar"/>
    <w:qFormat/>
    <w:rsid w:val="00120B5D"/>
    <w:pPr>
      <w:jc w:val="center"/>
    </w:pPr>
    <w:rPr>
      <w:rFonts w:ascii="Arial" w:hAnsi="Arial"/>
      <w:b/>
      <w:sz w:val="22"/>
    </w:rPr>
  </w:style>
  <w:style w:type="paragraph" w:styleId="Header">
    <w:name w:val="header"/>
    <w:basedOn w:val="Normal"/>
    <w:link w:val="HeaderChar"/>
    <w:rsid w:val="00120B5D"/>
    <w:pPr>
      <w:tabs>
        <w:tab w:val="center" w:pos="4153"/>
        <w:tab w:val="right" w:pos="8306"/>
      </w:tabs>
    </w:pPr>
  </w:style>
  <w:style w:type="paragraph" w:styleId="Footer">
    <w:name w:val="footer"/>
    <w:basedOn w:val="Normal"/>
    <w:rsid w:val="00120B5D"/>
    <w:pPr>
      <w:tabs>
        <w:tab w:val="center" w:pos="4153"/>
        <w:tab w:val="right" w:pos="8306"/>
      </w:tabs>
    </w:pPr>
  </w:style>
  <w:style w:type="table" w:styleId="TableGrid">
    <w:name w:val="Table Grid"/>
    <w:basedOn w:val="TableNormal"/>
    <w:rsid w:val="003D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085"/>
    <w:rPr>
      <w:rFonts w:ascii="Tahoma" w:hAnsi="Tahoma" w:cs="Tahoma"/>
      <w:sz w:val="16"/>
      <w:szCs w:val="16"/>
    </w:rPr>
  </w:style>
  <w:style w:type="character" w:customStyle="1" w:styleId="BalloonTextChar">
    <w:name w:val="Balloon Text Char"/>
    <w:basedOn w:val="DefaultParagraphFont"/>
    <w:link w:val="BalloonText"/>
    <w:rsid w:val="00EF4085"/>
    <w:rPr>
      <w:rFonts w:ascii="Tahoma" w:hAnsi="Tahoma" w:cs="Tahoma"/>
      <w:sz w:val="16"/>
      <w:szCs w:val="16"/>
      <w:lang w:val="fr-FR"/>
    </w:rPr>
  </w:style>
  <w:style w:type="character" w:customStyle="1" w:styleId="Heading6Char">
    <w:name w:val="Heading 6 Char"/>
    <w:basedOn w:val="DefaultParagraphFont"/>
    <w:link w:val="Heading6"/>
    <w:rsid w:val="00D52D48"/>
    <w:rPr>
      <w:rFonts w:ascii="Arial" w:hAnsi="Arial"/>
      <w:b/>
      <w:caps/>
      <w:sz w:val="22"/>
      <w:lang w:val="fr-FR"/>
    </w:rPr>
  </w:style>
  <w:style w:type="character" w:customStyle="1" w:styleId="Heading7Char">
    <w:name w:val="Heading 7 Char"/>
    <w:basedOn w:val="DefaultParagraphFont"/>
    <w:link w:val="Heading7"/>
    <w:rsid w:val="00D52D48"/>
    <w:rPr>
      <w:rFonts w:ascii="Arial" w:hAnsi="Arial"/>
      <w:b/>
      <w:sz w:val="22"/>
      <w:u w:val="single"/>
      <w:lang w:val="fr-FR"/>
    </w:rPr>
  </w:style>
  <w:style w:type="character" w:customStyle="1" w:styleId="TitleChar">
    <w:name w:val="Title Char"/>
    <w:basedOn w:val="DefaultParagraphFont"/>
    <w:link w:val="Title"/>
    <w:rsid w:val="00D52D48"/>
    <w:rPr>
      <w:rFonts w:ascii="Arial" w:hAnsi="Arial"/>
      <w:b/>
      <w:sz w:val="22"/>
      <w:lang w:val="fr-FR"/>
    </w:rPr>
  </w:style>
  <w:style w:type="character" w:customStyle="1" w:styleId="HeaderChar">
    <w:name w:val="Header Char"/>
    <w:basedOn w:val="DefaultParagraphFont"/>
    <w:link w:val="Header"/>
    <w:rsid w:val="00291C06"/>
    <w:rPr>
      <w:lang w:val="fr-FR"/>
    </w:rPr>
  </w:style>
  <w:style w:type="paragraph" w:styleId="ListParagraph">
    <w:name w:val="List Paragraph"/>
    <w:basedOn w:val="Normal"/>
    <w:uiPriority w:val="34"/>
    <w:qFormat/>
    <w:rsid w:val="003726B0"/>
    <w:pPr>
      <w:ind w:left="720"/>
      <w:contextualSpacing/>
    </w:pPr>
  </w:style>
  <w:style w:type="paragraph" w:customStyle="1" w:styleId="Default">
    <w:name w:val="Default"/>
    <w:rsid w:val="003979EA"/>
    <w:pPr>
      <w:autoSpaceDE w:val="0"/>
      <w:autoSpaceDN w:val="0"/>
      <w:adjustRightInd w:val="0"/>
    </w:pPr>
    <w:rPr>
      <w:rFonts w:ascii="Comic Sans MS" w:hAnsi="Comic Sans MS" w:cs="Comic Sans MS"/>
      <w:color w:val="000000"/>
      <w:sz w:val="24"/>
      <w:szCs w:val="24"/>
    </w:rPr>
  </w:style>
  <w:style w:type="character" w:styleId="PageNumber">
    <w:name w:val="page number"/>
    <w:basedOn w:val="DefaultParagraphFont"/>
    <w:rsid w:val="00397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B5D"/>
    <w:rPr>
      <w:lang w:val="fr-FR"/>
    </w:rPr>
  </w:style>
  <w:style w:type="paragraph" w:styleId="Heading1">
    <w:name w:val="heading 1"/>
    <w:basedOn w:val="Normal"/>
    <w:next w:val="Normal"/>
    <w:qFormat/>
    <w:rsid w:val="00120B5D"/>
    <w:pPr>
      <w:widowControl w:val="0"/>
      <w:tabs>
        <w:tab w:val="left" w:pos="-720"/>
      </w:tabs>
      <w:suppressAutoHyphens/>
      <w:outlineLvl w:val="0"/>
    </w:pPr>
    <w:rPr>
      <w:rFonts w:ascii="Arial" w:hAnsi="Arial"/>
      <w:b/>
      <w:snapToGrid w:val="0"/>
      <w:u w:val="single"/>
    </w:rPr>
  </w:style>
  <w:style w:type="paragraph" w:styleId="Heading2">
    <w:name w:val="heading 2"/>
    <w:basedOn w:val="Normal"/>
    <w:next w:val="Normal"/>
    <w:qFormat/>
    <w:rsid w:val="00120B5D"/>
    <w:pPr>
      <w:keepNext/>
      <w:widowControl w:val="0"/>
      <w:suppressAutoHyphens/>
      <w:outlineLvl w:val="1"/>
    </w:pPr>
    <w:rPr>
      <w:rFonts w:ascii="Courier New" w:hAnsi="Courier New"/>
      <w:b/>
      <w:snapToGrid w:val="0"/>
      <w:lang w:val="nl-NL"/>
    </w:rPr>
  </w:style>
  <w:style w:type="paragraph" w:styleId="Heading3">
    <w:name w:val="heading 3"/>
    <w:basedOn w:val="Normal"/>
    <w:next w:val="Normal"/>
    <w:qFormat/>
    <w:rsid w:val="00120B5D"/>
    <w:pPr>
      <w:keepNext/>
      <w:jc w:val="center"/>
      <w:outlineLvl w:val="2"/>
    </w:pPr>
    <w:rPr>
      <w:rFonts w:ascii="Arial" w:hAnsi="Arial"/>
      <w:b/>
      <w:spacing w:val="-4"/>
      <w:sz w:val="18"/>
    </w:rPr>
  </w:style>
  <w:style w:type="paragraph" w:styleId="Heading4">
    <w:name w:val="heading 4"/>
    <w:basedOn w:val="Normal"/>
    <w:next w:val="Normal"/>
    <w:qFormat/>
    <w:rsid w:val="00120B5D"/>
    <w:pPr>
      <w:keepNext/>
      <w:spacing w:after="120"/>
      <w:jc w:val="both"/>
      <w:outlineLvl w:val="3"/>
    </w:pPr>
    <w:rPr>
      <w:rFonts w:ascii="Arial" w:hAnsi="Arial"/>
      <w:b/>
      <w:color w:val="000080"/>
      <w:sz w:val="22"/>
      <w:u w:val="single"/>
      <w:lang w:val="fr-BE"/>
    </w:rPr>
  </w:style>
  <w:style w:type="paragraph" w:styleId="Heading5">
    <w:name w:val="heading 5"/>
    <w:basedOn w:val="Normal"/>
    <w:next w:val="Normal"/>
    <w:qFormat/>
    <w:rsid w:val="00120B5D"/>
    <w:pPr>
      <w:keepNext/>
      <w:jc w:val="center"/>
      <w:outlineLvl w:val="4"/>
    </w:pPr>
    <w:rPr>
      <w:rFonts w:ascii="Arial" w:hAnsi="Arial"/>
      <w:b/>
      <w:lang w:val="nl-NL"/>
    </w:rPr>
  </w:style>
  <w:style w:type="paragraph" w:styleId="Heading6">
    <w:name w:val="heading 6"/>
    <w:basedOn w:val="Normal"/>
    <w:next w:val="Normal"/>
    <w:link w:val="Heading6Char"/>
    <w:qFormat/>
    <w:rsid w:val="00120B5D"/>
    <w:pPr>
      <w:keepNext/>
      <w:spacing w:after="120"/>
      <w:jc w:val="center"/>
      <w:outlineLvl w:val="5"/>
    </w:pPr>
    <w:rPr>
      <w:rFonts w:ascii="Arial" w:hAnsi="Arial"/>
      <w:b/>
      <w:caps/>
      <w:sz w:val="22"/>
    </w:rPr>
  </w:style>
  <w:style w:type="paragraph" w:styleId="Heading7">
    <w:name w:val="heading 7"/>
    <w:basedOn w:val="Normal"/>
    <w:next w:val="Normal"/>
    <w:link w:val="Heading7Char"/>
    <w:qFormat/>
    <w:rsid w:val="00120B5D"/>
    <w:pPr>
      <w:keepNext/>
      <w:spacing w:after="240"/>
      <w:jc w:val="center"/>
      <w:outlineLvl w:val="6"/>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0B5D"/>
    <w:pPr>
      <w:tabs>
        <w:tab w:val="left" w:pos="1116"/>
      </w:tabs>
      <w:jc w:val="both"/>
    </w:pPr>
    <w:rPr>
      <w:rFonts w:ascii="Arial" w:hAnsi="Arial"/>
      <w:sz w:val="22"/>
    </w:rPr>
  </w:style>
  <w:style w:type="paragraph" w:styleId="Title">
    <w:name w:val="Title"/>
    <w:basedOn w:val="Normal"/>
    <w:link w:val="TitleChar"/>
    <w:qFormat/>
    <w:rsid w:val="00120B5D"/>
    <w:pPr>
      <w:jc w:val="center"/>
    </w:pPr>
    <w:rPr>
      <w:rFonts w:ascii="Arial" w:hAnsi="Arial"/>
      <w:b/>
      <w:sz w:val="22"/>
    </w:rPr>
  </w:style>
  <w:style w:type="paragraph" w:styleId="Header">
    <w:name w:val="header"/>
    <w:basedOn w:val="Normal"/>
    <w:link w:val="HeaderChar"/>
    <w:rsid w:val="00120B5D"/>
    <w:pPr>
      <w:tabs>
        <w:tab w:val="center" w:pos="4153"/>
        <w:tab w:val="right" w:pos="8306"/>
      </w:tabs>
    </w:pPr>
  </w:style>
  <w:style w:type="paragraph" w:styleId="Footer">
    <w:name w:val="footer"/>
    <w:basedOn w:val="Normal"/>
    <w:rsid w:val="00120B5D"/>
    <w:pPr>
      <w:tabs>
        <w:tab w:val="center" w:pos="4153"/>
        <w:tab w:val="right" w:pos="8306"/>
      </w:tabs>
    </w:pPr>
  </w:style>
  <w:style w:type="table" w:styleId="TableGrid">
    <w:name w:val="Table Grid"/>
    <w:basedOn w:val="TableNormal"/>
    <w:rsid w:val="003D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085"/>
    <w:rPr>
      <w:rFonts w:ascii="Tahoma" w:hAnsi="Tahoma" w:cs="Tahoma"/>
      <w:sz w:val="16"/>
      <w:szCs w:val="16"/>
    </w:rPr>
  </w:style>
  <w:style w:type="character" w:customStyle="1" w:styleId="BalloonTextChar">
    <w:name w:val="Balloon Text Char"/>
    <w:basedOn w:val="DefaultParagraphFont"/>
    <w:link w:val="BalloonText"/>
    <w:rsid w:val="00EF4085"/>
    <w:rPr>
      <w:rFonts w:ascii="Tahoma" w:hAnsi="Tahoma" w:cs="Tahoma"/>
      <w:sz w:val="16"/>
      <w:szCs w:val="16"/>
      <w:lang w:val="fr-FR"/>
    </w:rPr>
  </w:style>
  <w:style w:type="character" w:customStyle="1" w:styleId="Heading6Char">
    <w:name w:val="Heading 6 Char"/>
    <w:basedOn w:val="DefaultParagraphFont"/>
    <w:link w:val="Heading6"/>
    <w:rsid w:val="00D52D48"/>
    <w:rPr>
      <w:rFonts w:ascii="Arial" w:hAnsi="Arial"/>
      <w:b/>
      <w:caps/>
      <w:sz w:val="22"/>
      <w:lang w:val="fr-FR"/>
    </w:rPr>
  </w:style>
  <w:style w:type="character" w:customStyle="1" w:styleId="Heading7Char">
    <w:name w:val="Heading 7 Char"/>
    <w:basedOn w:val="DefaultParagraphFont"/>
    <w:link w:val="Heading7"/>
    <w:rsid w:val="00D52D48"/>
    <w:rPr>
      <w:rFonts w:ascii="Arial" w:hAnsi="Arial"/>
      <w:b/>
      <w:sz w:val="22"/>
      <w:u w:val="single"/>
      <w:lang w:val="fr-FR"/>
    </w:rPr>
  </w:style>
  <w:style w:type="character" w:customStyle="1" w:styleId="TitleChar">
    <w:name w:val="Title Char"/>
    <w:basedOn w:val="DefaultParagraphFont"/>
    <w:link w:val="Title"/>
    <w:rsid w:val="00D52D48"/>
    <w:rPr>
      <w:rFonts w:ascii="Arial" w:hAnsi="Arial"/>
      <w:b/>
      <w:sz w:val="22"/>
      <w:lang w:val="fr-FR"/>
    </w:rPr>
  </w:style>
  <w:style w:type="character" w:customStyle="1" w:styleId="HeaderChar">
    <w:name w:val="Header Char"/>
    <w:basedOn w:val="DefaultParagraphFont"/>
    <w:link w:val="Header"/>
    <w:rsid w:val="00291C06"/>
    <w:rPr>
      <w:lang w:val="fr-FR"/>
    </w:rPr>
  </w:style>
  <w:style w:type="paragraph" w:styleId="ListParagraph">
    <w:name w:val="List Paragraph"/>
    <w:basedOn w:val="Normal"/>
    <w:uiPriority w:val="34"/>
    <w:qFormat/>
    <w:rsid w:val="003726B0"/>
    <w:pPr>
      <w:ind w:left="720"/>
      <w:contextualSpacing/>
    </w:pPr>
  </w:style>
  <w:style w:type="paragraph" w:customStyle="1" w:styleId="Default">
    <w:name w:val="Default"/>
    <w:rsid w:val="003979EA"/>
    <w:pPr>
      <w:autoSpaceDE w:val="0"/>
      <w:autoSpaceDN w:val="0"/>
      <w:adjustRightInd w:val="0"/>
    </w:pPr>
    <w:rPr>
      <w:rFonts w:ascii="Comic Sans MS" w:hAnsi="Comic Sans MS" w:cs="Comic Sans MS"/>
      <w:color w:val="000000"/>
      <w:sz w:val="24"/>
      <w:szCs w:val="24"/>
    </w:rPr>
  </w:style>
  <w:style w:type="character" w:styleId="PageNumber">
    <w:name w:val="page number"/>
    <w:basedOn w:val="DefaultParagraphFont"/>
    <w:rsid w:val="0039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15776">
      <w:bodyDiv w:val="1"/>
      <w:marLeft w:val="0"/>
      <w:marRight w:val="0"/>
      <w:marTop w:val="0"/>
      <w:marBottom w:val="0"/>
      <w:divBdr>
        <w:top w:val="none" w:sz="0" w:space="0" w:color="auto"/>
        <w:left w:val="none" w:sz="0" w:space="0" w:color="auto"/>
        <w:bottom w:val="none" w:sz="0" w:space="0" w:color="auto"/>
        <w:right w:val="none" w:sz="0" w:space="0" w:color="auto"/>
      </w:divBdr>
    </w:div>
    <w:div w:id="1586761163">
      <w:bodyDiv w:val="1"/>
      <w:marLeft w:val="0"/>
      <w:marRight w:val="0"/>
      <w:marTop w:val="0"/>
      <w:marBottom w:val="0"/>
      <w:divBdr>
        <w:top w:val="none" w:sz="0" w:space="0" w:color="auto"/>
        <w:left w:val="none" w:sz="0" w:space="0" w:color="auto"/>
        <w:bottom w:val="none" w:sz="0" w:space="0" w:color="auto"/>
        <w:right w:val="none" w:sz="0" w:space="0" w:color="auto"/>
      </w:divBdr>
    </w:div>
    <w:div w:id="21218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2018-03-22T23:00:00+00:00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Pharmacien</TermName>
          <TermId xmlns="http://schemas.microsoft.com/office/infopath/2007/PartnerControls">afadc2d1-9390-4c99-b189-4366cd2906a2</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Offices de tarification</TermName>
          <TermId xmlns="http://schemas.microsoft.com/office/infopath/2007/PartnerControls">4bb33f56-03f5-4ba0-9463-66d4d20d6cd9</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20</Value>
      <Value>63</Value>
      <Value>12</Value>
      <Value>8</Value>
      <Value>30</Value>
      <Value>29</Value>
      <Value>24</Value>
      <Value>43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Produits de santé</TermName>
          <TermId xmlns="http://schemas.microsoft.com/office/infopath/2007/PartnerControls">d78ebc3b-48fb-4569-858e-d501286ecc00</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C1729C44-3BA5-4003-B831-07563114E07B}"/>
</file>

<file path=customXml/itemProps2.xml><?xml version="1.0" encoding="utf-8"?>
<ds:datastoreItem xmlns:ds="http://schemas.openxmlformats.org/officeDocument/2006/customXml" ds:itemID="{16FF67F1-263D-4664-80CF-C75884A4163E}"/>
</file>

<file path=customXml/itemProps3.xml><?xml version="1.0" encoding="utf-8"?>
<ds:datastoreItem xmlns:ds="http://schemas.openxmlformats.org/officeDocument/2006/customXml" ds:itemID="{4BE64C00-CF27-4E98-96C8-8D9D4E1E1F48}"/>
</file>

<file path=docProps/app.xml><?xml version="1.0" encoding="utf-8"?>
<Properties xmlns="http://schemas.openxmlformats.org/officeDocument/2006/extended-properties" xmlns:vt="http://schemas.openxmlformats.org/officeDocument/2006/docPropsVTypes">
  <Template>CC5A368C.dotm</Template>
  <TotalTime>0</TotalTime>
  <Pages>1</Pages>
  <Words>484</Words>
  <Characters>3040</Characters>
  <Application>Microsoft Office Word</Application>
  <DocSecurity>0</DocSecurity>
  <Lines>25</Lines>
  <Paragraphs>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INSTITUT NATIONAL D’ASSURANCE MALADIE INVALIDITÉ</vt:lpstr>
      <vt:lpstr>INSTITUT NATIONAL D’ASSURANCE MALADIE INVALIDITÉ</vt:lpstr>
      <vt:lpstr>INSTITUT NATIONAL D’ASSURANCE MALADIE INVALIDITÉ</vt:lpstr>
    </vt:vector>
  </TitlesOfParts>
  <Company>R.I.Z.I.V. - I.N.A.M.I.</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Interpretatieregel voor electrolyten - Règle interprétative pour les électrolytes</dc:title>
  <dc:creator>Blandine Divry</dc:creator>
  <cp:lastModifiedBy>Blandine Divry</cp:lastModifiedBy>
  <cp:revision>3</cp:revision>
  <cp:lastPrinted>2017-11-24T07:04:00Z</cp:lastPrinted>
  <dcterms:created xsi:type="dcterms:W3CDTF">2018-03-23T09:33:00Z</dcterms:created>
  <dcterms:modified xsi:type="dcterms:W3CDTF">2018-03-23T09:38:00Z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20;#Citoyen|3d4050dd-0cb5-49a7-892e-7750ff79cdf8;#29;#Médecin|d8a1e59b-bcd7-4d2f-b75c-23b993f6e1ad;#43;#Pharmacien|afadc2d1-9390-4c99-b189-4366cd2906a2;#24;#Mutualités|a6cbed05-adf5-4226-bcb7-ef5cdc788bf2;#63;#Offices de tarification|4bb33f56-03f5-4ba0-9463-66d4d20d6cd9</vt:lpwstr>
  </property>
  <property fmtid="{D5CDD505-2E9C-101B-9397-08002B2CF9AE}" pid="4" name="RITheme">
    <vt:lpwstr>30;#Produits de santé|d78ebc3b-48fb-4569-858e-d501286ecc00</vt:lpwstr>
  </property>
  <property fmtid="{D5CDD505-2E9C-101B-9397-08002B2CF9AE}" pid="5" name="RILanguage">
    <vt:lpwstr>8;#Français|aa2269b8-11bd-4cc9-9267-801806817e60;#12;#Néerlandais|1daba039-17e6-4993-bb2c-50e1d16ef364</vt:lpwstr>
  </property>
  <property fmtid="{D5CDD505-2E9C-101B-9397-08002B2CF9AE}" pid="6" name="RIDocType">
    <vt:lpwstr/>
  </property>
  <property fmtid="{D5CDD505-2E9C-101B-9397-08002B2CF9AE}" pid="7" name="Publication type for documents">
    <vt:lpwstr/>
  </property>
</Properties>
</file>