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F9" w:rsidRPr="002D70F9" w:rsidRDefault="002D70F9" w:rsidP="007417D8">
      <w:pPr>
        <w:pStyle w:val="Default"/>
        <w:rPr>
          <w:lang w:val="nl-BE"/>
        </w:rPr>
      </w:pPr>
    </w:p>
    <w:p w:rsidR="007417D8" w:rsidRPr="007417D8" w:rsidRDefault="007417D8" w:rsidP="007417D8">
      <w:pPr>
        <w:pStyle w:val="Default"/>
        <w:rPr>
          <w:sz w:val="22"/>
          <w:szCs w:val="22"/>
          <w:lang w:val="nl-BE"/>
        </w:rPr>
      </w:pPr>
      <w:r w:rsidRPr="007417D8">
        <w:rPr>
          <w:b/>
          <w:bCs/>
          <w:sz w:val="22"/>
          <w:szCs w:val="22"/>
          <w:lang w:val="nl-BE"/>
        </w:rPr>
        <w:t xml:space="preserve">Modaliteiten voor de registratie van gegevens betreffende de endoprothesen </w:t>
      </w:r>
    </w:p>
    <w:p w:rsidR="007417D8" w:rsidRDefault="007417D8" w:rsidP="007417D8">
      <w:pPr>
        <w:pStyle w:val="Default"/>
        <w:rPr>
          <w:sz w:val="20"/>
          <w:szCs w:val="20"/>
          <w:lang w:val="nl-BE"/>
        </w:rPr>
      </w:pPr>
      <w:r w:rsidRPr="007417D8">
        <w:rPr>
          <w:sz w:val="20"/>
          <w:szCs w:val="20"/>
          <w:lang w:val="nl-BE"/>
        </w:rPr>
        <w:t xml:space="preserve">De punten 4.1. en 4.2. van de vergoedingsvoorwaarde G-§04 van de lijst verduidelijken dat de modaliteiten van de registratie en de validatie van de gegevens alsook de manier waarop deze overgemaakt worden, opgesteld worden door de Dienst voor Geneeskundige Verzorging, de Commissie en de Technische Geneeskundige Raad. </w:t>
      </w:r>
    </w:p>
    <w:p w:rsidR="008221E3" w:rsidRPr="007417D8" w:rsidRDefault="008221E3" w:rsidP="007417D8">
      <w:pPr>
        <w:pStyle w:val="Default"/>
        <w:rPr>
          <w:sz w:val="20"/>
          <w:szCs w:val="20"/>
          <w:lang w:val="nl-BE"/>
        </w:rPr>
      </w:pPr>
    </w:p>
    <w:p w:rsidR="007417D8" w:rsidRPr="007417D8" w:rsidRDefault="007417D8" w:rsidP="007417D8">
      <w:pPr>
        <w:pStyle w:val="Default"/>
        <w:rPr>
          <w:sz w:val="20"/>
          <w:szCs w:val="20"/>
          <w:lang w:val="nl-BE"/>
        </w:rPr>
      </w:pPr>
      <w:r w:rsidRPr="007417D8">
        <w:rPr>
          <w:b/>
          <w:bCs/>
          <w:i/>
          <w:iCs/>
          <w:sz w:val="20"/>
          <w:szCs w:val="20"/>
          <w:lang w:val="nl-BE"/>
        </w:rPr>
        <w:t xml:space="preserve">De modaliteiten voor de registratie </w:t>
      </w:r>
    </w:p>
    <w:p w:rsidR="007417D8" w:rsidRPr="007417D8" w:rsidRDefault="007417D8" w:rsidP="007417D8">
      <w:pPr>
        <w:pStyle w:val="Default"/>
        <w:rPr>
          <w:sz w:val="20"/>
          <w:szCs w:val="20"/>
          <w:lang w:val="nl-BE"/>
        </w:rPr>
      </w:pPr>
      <w:r w:rsidRPr="007417D8">
        <w:rPr>
          <w:sz w:val="20"/>
          <w:szCs w:val="20"/>
          <w:lang w:val="nl-BE"/>
        </w:rPr>
        <w:t xml:space="preserve">Twee types van gebruikers kunnen toegang hebben tot de online toepassing: </w:t>
      </w:r>
    </w:p>
    <w:p w:rsidR="007417D8" w:rsidRPr="007417D8" w:rsidRDefault="007417D8" w:rsidP="007417D8">
      <w:pPr>
        <w:pStyle w:val="Default"/>
        <w:numPr>
          <w:ilvl w:val="0"/>
          <w:numId w:val="1"/>
        </w:numPr>
        <w:spacing w:after="27"/>
        <w:rPr>
          <w:sz w:val="20"/>
          <w:szCs w:val="20"/>
          <w:lang w:val="nl-BE"/>
        </w:rPr>
      </w:pPr>
      <w:r w:rsidRPr="007417D8">
        <w:rPr>
          <w:sz w:val="20"/>
          <w:szCs w:val="20"/>
          <w:lang w:val="nl-BE"/>
        </w:rPr>
        <w:t xml:space="preserve">De vaatchirurgen en de interventionele radiologen die deel uitmaken van het multidisciplinair team. De samenstelling van het team is vastgesteld via een lijst opgemaakt door het Verzekeringscomité die jaarlijks bijgewerkt wordt. Om toegang te hebben tot de toepassing moeten ze ook toegang krijgen van de lokaal beheerder van hun ziekenhuis. </w:t>
      </w:r>
    </w:p>
    <w:p w:rsidR="007417D8" w:rsidRPr="007417D8" w:rsidRDefault="007417D8" w:rsidP="007417D8">
      <w:pPr>
        <w:pStyle w:val="Default"/>
        <w:numPr>
          <w:ilvl w:val="0"/>
          <w:numId w:val="1"/>
        </w:numPr>
        <w:rPr>
          <w:sz w:val="20"/>
          <w:szCs w:val="20"/>
          <w:lang w:val="nl-BE"/>
        </w:rPr>
      </w:pPr>
      <w:r w:rsidRPr="007417D8">
        <w:rPr>
          <w:sz w:val="20"/>
          <w:szCs w:val="20"/>
          <w:lang w:val="nl-BE"/>
        </w:rPr>
        <w:t xml:space="preserve">De administratief medewerkers (verpleegkundigen, secretaressen, apothekers,…). Om toegang te hebben tot de toepassing moeten zij enerzijds toegang krijgen van de lokaal beheerder van hun ziekenhuis en anderzijds moeten zij gelinkt worden met de vaatchirurgen en de </w:t>
      </w:r>
      <w:proofErr w:type="spellStart"/>
      <w:r w:rsidRPr="007417D8">
        <w:rPr>
          <w:sz w:val="20"/>
          <w:szCs w:val="20"/>
          <w:lang w:val="nl-BE"/>
        </w:rPr>
        <w:t>interventioneel</w:t>
      </w:r>
      <w:proofErr w:type="spellEnd"/>
      <w:r w:rsidRPr="007417D8">
        <w:rPr>
          <w:sz w:val="20"/>
          <w:szCs w:val="20"/>
          <w:lang w:val="nl-BE"/>
        </w:rPr>
        <w:t xml:space="preserve"> radioloog voor wie ze gegevens kunnen ingeven en consulteren. </w:t>
      </w:r>
    </w:p>
    <w:p w:rsidR="007417D8" w:rsidRPr="007417D8" w:rsidRDefault="007417D8" w:rsidP="007417D8">
      <w:pPr>
        <w:pStyle w:val="Default"/>
        <w:rPr>
          <w:sz w:val="20"/>
          <w:szCs w:val="20"/>
          <w:lang w:val="nl-BE"/>
        </w:rPr>
      </w:pPr>
    </w:p>
    <w:p w:rsidR="007417D8" w:rsidRDefault="007417D8" w:rsidP="007417D8">
      <w:pPr>
        <w:pStyle w:val="Default"/>
        <w:rPr>
          <w:sz w:val="20"/>
          <w:szCs w:val="20"/>
          <w:lang w:val="nl-BE"/>
        </w:rPr>
      </w:pPr>
      <w:r w:rsidRPr="007417D8">
        <w:rPr>
          <w:sz w:val="20"/>
          <w:szCs w:val="20"/>
          <w:lang w:val="nl-BE"/>
        </w:rPr>
        <w:t xml:space="preserve">Een registratie* kan </w:t>
      </w:r>
      <w:r w:rsidR="00D36217">
        <w:rPr>
          <w:sz w:val="20"/>
          <w:szCs w:val="20"/>
          <w:lang w:val="nl-BE"/>
        </w:rPr>
        <w:t xml:space="preserve">enkel </w:t>
      </w:r>
      <w:r w:rsidRPr="007417D8">
        <w:rPr>
          <w:sz w:val="20"/>
          <w:szCs w:val="20"/>
          <w:lang w:val="nl-BE"/>
        </w:rPr>
        <w:t xml:space="preserve">aangemaakt worden in de online toepassing door </w:t>
      </w:r>
      <w:r w:rsidR="00D36217">
        <w:rPr>
          <w:sz w:val="20"/>
          <w:szCs w:val="20"/>
          <w:lang w:val="nl-BE"/>
        </w:rPr>
        <w:t xml:space="preserve">de implanterende arts of </w:t>
      </w:r>
      <w:r w:rsidRPr="007417D8">
        <w:rPr>
          <w:sz w:val="20"/>
          <w:szCs w:val="20"/>
          <w:lang w:val="nl-BE"/>
        </w:rPr>
        <w:t xml:space="preserve">door een administratief medewerker die </w:t>
      </w:r>
      <w:r w:rsidR="00D36217">
        <w:rPr>
          <w:sz w:val="20"/>
          <w:szCs w:val="20"/>
          <w:lang w:val="nl-BE"/>
        </w:rPr>
        <w:t xml:space="preserve">eerst de implanterende arts en dan de twee andere leden van het multidisciplinair team </w:t>
      </w:r>
      <w:r w:rsidRPr="007417D8">
        <w:rPr>
          <w:sz w:val="20"/>
          <w:szCs w:val="20"/>
          <w:lang w:val="nl-BE"/>
        </w:rPr>
        <w:t xml:space="preserve">moet selecteren. Indien de aanvraag aangemaakt is door </w:t>
      </w:r>
      <w:r w:rsidR="00D36217">
        <w:rPr>
          <w:sz w:val="20"/>
          <w:szCs w:val="20"/>
          <w:lang w:val="nl-BE"/>
        </w:rPr>
        <w:t>de implanterende arts</w:t>
      </w:r>
      <w:r w:rsidRPr="007417D8">
        <w:rPr>
          <w:sz w:val="20"/>
          <w:szCs w:val="20"/>
          <w:lang w:val="nl-BE"/>
        </w:rPr>
        <w:t xml:space="preserve">, moet die ook de </w:t>
      </w:r>
      <w:r w:rsidR="00D36217">
        <w:rPr>
          <w:sz w:val="20"/>
          <w:szCs w:val="20"/>
          <w:lang w:val="nl-BE"/>
        </w:rPr>
        <w:t xml:space="preserve">twee </w:t>
      </w:r>
      <w:r w:rsidRPr="007417D8">
        <w:rPr>
          <w:sz w:val="20"/>
          <w:szCs w:val="20"/>
          <w:lang w:val="nl-BE"/>
        </w:rPr>
        <w:t xml:space="preserve">andere leden van het team selecteren in de toepassing. </w:t>
      </w:r>
    </w:p>
    <w:p w:rsidR="007417D8" w:rsidRPr="007417D8" w:rsidRDefault="007417D8" w:rsidP="007417D8">
      <w:pPr>
        <w:pStyle w:val="Default"/>
        <w:rPr>
          <w:sz w:val="20"/>
          <w:szCs w:val="20"/>
          <w:lang w:val="nl-BE"/>
        </w:rPr>
      </w:pPr>
    </w:p>
    <w:p w:rsidR="007417D8" w:rsidRPr="002D70F9" w:rsidRDefault="007417D8" w:rsidP="007417D8">
      <w:pPr>
        <w:pStyle w:val="Default"/>
        <w:rPr>
          <w:sz w:val="20"/>
          <w:szCs w:val="20"/>
          <w:lang w:val="nl-BE"/>
        </w:rPr>
      </w:pPr>
      <w:r w:rsidRPr="002D70F9">
        <w:rPr>
          <w:b/>
          <w:bCs/>
          <w:i/>
          <w:iCs/>
          <w:sz w:val="20"/>
          <w:szCs w:val="20"/>
          <w:lang w:val="nl-BE"/>
        </w:rPr>
        <w:t xml:space="preserve">De modaliteiten voor de validatie </w:t>
      </w:r>
    </w:p>
    <w:p w:rsidR="007417D8" w:rsidRDefault="007417D8" w:rsidP="007417D8">
      <w:pPr>
        <w:pStyle w:val="Default"/>
        <w:rPr>
          <w:sz w:val="20"/>
          <w:szCs w:val="20"/>
          <w:lang w:val="nl-BE"/>
        </w:rPr>
      </w:pPr>
      <w:r w:rsidRPr="007417D8">
        <w:rPr>
          <w:sz w:val="20"/>
          <w:szCs w:val="20"/>
          <w:lang w:val="nl-BE"/>
        </w:rPr>
        <w:t xml:space="preserve">Eens alle verplichte gegevens ingegeven zijn, kan de registratie gevalideerd worden. Enkel de </w:t>
      </w:r>
      <w:r w:rsidR="00D278E2">
        <w:rPr>
          <w:sz w:val="20"/>
          <w:szCs w:val="20"/>
          <w:lang w:val="nl-BE"/>
        </w:rPr>
        <w:t xml:space="preserve">implanterende </w:t>
      </w:r>
      <w:r w:rsidRPr="007417D8">
        <w:rPr>
          <w:sz w:val="20"/>
          <w:szCs w:val="20"/>
          <w:lang w:val="nl-BE"/>
        </w:rPr>
        <w:t xml:space="preserve">arts, kan deze valideren. Na de validatie van de registratie wordt automatisch een unieke registratiecode aangemaakt en kan het registratieformulier geprint worden. </w:t>
      </w:r>
    </w:p>
    <w:p w:rsidR="007417D8" w:rsidRPr="007417D8" w:rsidRDefault="007417D8" w:rsidP="007417D8">
      <w:pPr>
        <w:pStyle w:val="Default"/>
        <w:rPr>
          <w:sz w:val="20"/>
          <w:szCs w:val="20"/>
          <w:lang w:val="nl-BE"/>
        </w:rPr>
      </w:pPr>
    </w:p>
    <w:p w:rsidR="007417D8" w:rsidRPr="007417D8" w:rsidRDefault="007417D8" w:rsidP="007417D8">
      <w:pPr>
        <w:pStyle w:val="Default"/>
        <w:rPr>
          <w:sz w:val="20"/>
          <w:szCs w:val="20"/>
          <w:lang w:val="nl-BE"/>
        </w:rPr>
      </w:pPr>
      <w:r w:rsidRPr="007417D8">
        <w:rPr>
          <w:b/>
          <w:bCs/>
          <w:i/>
          <w:iCs/>
          <w:sz w:val="20"/>
          <w:szCs w:val="20"/>
          <w:lang w:val="nl-BE"/>
        </w:rPr>
        <w:t xml:space="preserve">De modaliteiten van de follow-up </w:t>
      </w:r>
    </w:p>
    <w:p w:rsidR="007417D8" w:rsidRDefault="007417D8" w:rsidP="007417D8">
      <w:pPr>
        <w:pStyle w:val="Default"/>
        <w:rPr>
          <w:sz w:val="20"/>
          <w:szCs w:val="20"/>
          <w:lang w:val="nl-BE"/>
        </w:rPr>
      </w:pPr>
      <w:r w:rsidRPr="007417D8">
        <w:rPr>
          <w:sz w:val="20"/>
          <w:szCs w:val="20"/>
          <w:lang w:val="nl-BE"/>
        </w:rPr>
        <w:t xml:space="preserve">De follow-up gegevens (bij ontslag, op 3, op 12, op 24 en op 36 maand) moeten ingegeven worden in de </w:t>
      </w:r>
      <w:proofErr w:type="spellStart"/>
      <w:r w:rsidRPr="007417D8">
        <w:rPr>
          <w:sz w:val="20"/>
          <w:szCs w:val="20"/>
          <w:lang w:val="nl-BE"/>
        </w:rPr>
        <w:t>on-line</w:t>
      </w:r>
      <w:proofErr w:type="spellEnd"/>
      <w:r w:rsidRPr="007417D8">
        <w:rPr>
          <w:sz w:val="20"/>
          <w:szCs w:val="20"/>
          <w:lang w:val="nl-BE"/>
        </w:rPr>
        <w:t xml:space="preserve"> toepassing. </w:t>
      </w:r>
    </w:p>
    <w:p w:rsidR="007417D8" w:rsidRPr="007417D8" w:rsidRDefault="007417D8" w:rsidP="007417D8">
      <w:pPr>
        <w:pStyle w:val="Default"/>
        <w:rPr>
          <w:sz w:val="20"/>
          <w:szCs w:val="20"/>
          <w:lang w:val="nl-BE"/>
        </w:rPr>
      </w:pPr>
    </w:p>
    <w:p w:rsidR="007417D8" w:rsidRPr="007417D8" w:rsidRDefault="007417D8" w:rsidP="007417D8">
      <w:pPr>
        <w:pStyle w:val="Default"/>
        <w:rPr>
          <w:sz w:val="20"/>
          <w:szCs w:val="20"/>
          <w:lang w:val="nl-BE"/>
        </w:rPr>
      </w:pPr>
      <w:r w:rsidRPr="007417D8">
        <w:rPr>
          <w:b/>
          <w:bCs/>
          <w:i/>
          <w:iCs/>
          <w:sz w:val="20"/>
          <w:szCs w:val="20"/>
          <w:lang w:val="nl-BE"/>
        </w:rPr>
        <w:t xml:space="preserve">De modaliteiten voor de correctie </w:t>
      </w:r>
    </w:p>
    <w:p w:rsidR="007417D8" w:rsidRDefault="007417D8" w:rsidP="007417D8">
      <w:pPr>
        <w:pStyle w:val="Default"/>
        <w:rPr>
          <w:sz w:val="20"/>
          <w:szCs w:val="20"/>
          <w:lang w:val="nl-BE"/>
        </w:rPr>
      </w:pPr>
      <w:r w:rsidRPr="007417D8">
        <w:rPr>
          <w:sz w:val="20"/>
          <w:szCs w:val="20"/>
          <w:lang w:val="nl-BE"/>
        </w:rPr>
        <w:t xml:space="preserve">Een gevalideerde registratie die één of meerdere fouten bevat kan gecorrigeerd worden. De correctie moet aangemaakt worden door de </w:t>
      </w:r>
      <w:r w:rsidR="00D278E2">
        <w:rPr>
          <w:sz w:val="20"/>
          <w:szCs w:val="20"/>
          <w:lang w:val="nl-BE"/>
        </w:rPr>
        <w:t xml:space="preserve">implanterende arts of zijn </w:t>
      </w:r>
      <w:r w:rsidR="00D278E2" w:rsidRPr="007417D8">
        <w:rPr>
          <w:sz w:val="20"/>
          <w:szCs w:val="20"/>
          <w:lang w:val="nl-BE"/>
        </w:rPr>
        <w:t xml:space="preserve">administratief medewerker </w:t>
      </w:r>
      <w:r w:rsidR="00D278E2">
        <w:rPr>
          <w:sz w:val="20"/>
          <w:szCs w:val="20"/>
          <w:lang w:val="nl-BE"/>
        </w:rPr>
        <w:t xml:space="preserve">. De implanterende arts </w:t>
      </w:r>
      <w:r w:rsidRPr="007417D8">
        <w:rPr>
          <w:sz w:val="20"/>
          <w:szCs w:val="20"/>
          <w:lang w:val="nl-BE"/>
        </w:rPr>
        <w:t xml:space="preserve">moet de gecorrigeerde registratie opnieuw valideren. Na de validatie zal er automatisch een nieuwe registratiecode aangemaakt worden. </w:t>
      </w:r>
    </w:p>
    <w:p w:rsidR="007417D8" w:rsidRPr="007417D8" w:rsidRDefault="007417D8" w:rsidP="007417D8">
      <w:pPr>
        <w:pStyle w:val="Default"/>
        <w:rPr>
          <w:sz w:val="20"/>
          <w:szCs w:val="20"/>
          <w:lang w:val="nl-BE"/>
        </w:rPr>
      </w:pPr>
    </w:p>
    <w:p w:rsidR="007417D8" w:rsidRPr="007417D8" w:rsidRDefault="007417D8" w:rsidP="007417D8">
      <w:pPr>
        <w:pStyle w:val="Default"/>
        <w:rPr>
          <w:sz w:val="20"/>
          <w:szCs w:val="20"/>
          <w:lang w:val="nl-BE"/>
        </w:rPr>
      </w:pPr>
      <w:r w:rsidRPr="007417D8">
        <w:rPr>
          <w:b/>
          <w:bCs/>
          <w:i/>
          <w:iCs/>
          <w:sz w:val="20"/>
          <w:szCs w:val="20"/>
          <w:lang w:val="nl-BE"/>
        </w:rPr>
        <w:t xml:space="preserve">De modaliteiten voor de overdracht </w:t>
      </w:r>
    </w:p>
    <w:p w:rsidR="007417D8" w:rsidRPr="007417D8" w:rsidRDefault="007417D8" w:rsidP="007417D8">
      <w:pPr>
        <w:pStyle w:val="Default"/>
        <w:rPr>
          <w:sz w:val="20"/>
          <w:szCs w:val="20"/>
          <w:lang w:val="nl-BE"/>
        </w:rPr>
      </w:pPr>
    </w:p>
    <w:p w:rsidR="007417D8" w:rsidRPr="009D2A3F" w:rsidRDefault="007417D8" w:rsidP="002D70F9">
      <w:pPr>
        <w:pStyle w:val="Default"/>
        <w:numPr>
          <w:ilvl w:val="0"/>
          <w:numId w:val="1"/>
        </w:numPr>
        <w:spacing w:after="27"/>
        <w:rPr>
          <w:i/>
          <w:iCs/>
          <w:sz w:val="20"/>
          <w:szCs w:val="20"/>
          <w:lang w:val="nl-BE"/>
        </w:rPr>
      </w:pPr>
      <w:r w:rsidRPr="009D2A3F">
        <w:rPr>
          <w:i/>
          <w:iCs/>
          <w:sz w:val="20"/>
          <w:szCs w:val="20"/>
          <w:lang w:val="nl-BE"/>
        </w:rPr>
        <w:t xml:space="preserve">Overdracht aan de verzekeringsinstelling: </w:t>
      </w:r>
    </w:p>
    <w:p w:rsidR="002D70F9" w:rsidRPr="009D2A3F" w:rsidRDefault="00E37511" w:rsidP="002D70F9">
      <w:pPr>
        <w:pStyle w:val="Default"/>
        <w:ind w:left="720"/>
        <w:rPr>
          <w:sz w:val="20"/>
          <w:szCs w:val="20"/>
          <w:lang w:val="nl-BE"/>
        </w:rPr>
      </w:pPr>
      <w:r w:rsidRPr="009D2A3F">
        <w:rPr>
          <w:sz w:val="20"/>
          <w:szCs w:val="20"/>
          <w:lang w:val="nl-BE"/>
        </w:rPr>
        <w:t>De registratiecode aangemaakt na de validatie moet vermeld worden in recordtype 50 zone 57-58-59 van de elektronische facturatie</w:t>
      </w:r>
      <w:r w:rsidR="002D70F9" w:rsidRPr="009D2A3F">
        <w:rPr>
          <w:sz w:val="20"/>
          <w:szCs w:val="20"/>
          <w:lang w:val="nl-BE"/>
        </w:rPr>
        <w:t xml:space="preserve">; </w:t>
      </w:r>
    </w:p>
    <w:p w:rsidR="007417D8" w:rsidRPr="009D2A3F" w:rsidRDefault="007417D8" w:rsidP="002D70F9">
      <w:pPr>
        <w:pStyle w:val="Default"/>
        <w:spacing w:after="27"/>
        <w:ind w:left="720"/>
        <w:rPr>
          <w:iCs/>
          <w:strike/>
          <w:sz w:val="20"/>
          <w:szCs w:val="20"/>
          <w:lang w:val="nl-BE"/>
        </w:rPr>
      </w:pPr>
    </w:p>
    <w:p w:rsidR="002D70F9" w:rsidRPr="009D2A3F" w:rsidRDefault="007417D8" w:rsidP="002D70F9">
      <w:pPr>
        <w:pStyle w:val="Default"/>
        <w:numPr>
          <w:ilvl w:val="0"/>
          <w:numId w:val="1"/>
        </w:numPr>
        <w:spacing w:after="27"/>
        <w:rPr>
          <w:sz w:val="20"/>
          <w:szCs w:val="20"/>
          <w:lang w:val="nl-BE"/>
        </w:rPr>
      </w:pPr>
      <w:r w:rsidRPr="009D2A3F">
        <w:rPr>
          <w:i/>
          <w:iCs/>
          <w:sz w:val="20"/>
          <w:szCs w:val="20"/>
          <w:lang w:val="nl-BE"/>
        </w:rPr>
        <w:t xml:space="preserve">Overdracht aan de verzekeringsinstelling bij correctie: </w:t>
      </w:r>
    </w:p>
    <w:p w:rsidR="00262AF7" w:rsidRPr="009D2A3F" w:rsidRDefault="00E37511" w:rsidP="002D70F9">
      <w:pPr>
        <w:pStyle w:val="Default"/>
        <w:ind w:left="720"/>
        <w:rPr>
          <w:sz w:val="20"/>
          <w:szCs w:val="20"/>
          <w:lang w:val="nl-BE"/>
        </w:rPr>
      </w:pPr>
      <w:r w:rsidRPr="009D2A3F">
        <w:rPr>
          <w:sz w:val="20"/>
          <w:szCs w:val="20"/>
          <w:lang w:val="nl-BE"/>
        </w:rPr>
        <w:t>Als een correctie uitgevoerd werd, en deze een impact heeft op de facturatie, moet de nieuwe registratiecode vermeld worden in de elektronische facturatie</w:t>
      </w:r>
      <w:r w:rsidR="002D70F9" w:rsidRPr="009D2A3F">
        <w:rPr>
          <w:sz w:val="20"/>
          <w:szCs w:val="20"/>
          <w:lang w:val="nl-BE"/>
        </w:rPr>
        <w:t xml:space="preserve">; </w:t>
      </w:r>
    </w:p>
    <w:p w:rsidR="002D70F9" w:rsidRPr="009D2A3F" w:rsidRDefault="002D70F9" w:rsidP="002D70F9">
      <w:pPr>
        <w:pStyle w:val="Default"/>
        <w:ind w:left="720"/>
        <w:rPr>
          <w:sz w:val="20"/>
          <w:szCs w:val="20"/>
          <w:lang w:val="nl-BE"/>
        </w:rPr>
      </w:pPr>
    </w:p>
    <w:p w:rsidR="00262AF7" w:rsidRPr="009D2A3F" w:rsidRDefault="00262AF7" w:rsidP="00262AF7">
      <w:pPr>
        <w:pStyle w:val="Default"/>
        <w:numPr>
          <w:ilvl w:val="0"/>
          <w:numId w:val="2"/>
        </w:numPr>
        <w:rPr>
          <w:sz w:val="20"/>
          <w:szCs w:val="20"/>
          <w:lang w:val="nl-BE"/>
        </w:rPr>
      </w:pPr>
      <w:r w:rsidRPr="009D2A3F">
        <w:rPr>
          <w:i/>
          <w:iCs/>
          <w:sz w:val="20"/>
          <w:szCs w:val="20"/>
          <w:lang w:val="nl-BE"/>
        </w:rPr>
        <w:t xml:space="preserve">Overdracht aan de Commissie en de Technische geneeskundige raad: </w:t>
      </w:r>
    </w:p>
    <w:p w:rsidR="00262AF7" w:rsidRPr="009D2A3F" w:rsidRDefault="00262AF7" w:rsidP="00262AF7">
      <w:pPr>
        <w:pStyle w:val="Default"/>
        <w:ind w:left="720"/>
        <w:rPr>
          <w:sz w:val="20"/>
          <w:szCs w:val="20"/>
          <w:lang w:val="nl-BE"/>
        </w:rPr>
      </w:pPr>
      <w:r w:rsidRPr="009D2A3F">
        <w:rPr>
          <w:sz w:val="20"/>
          <w:szCs w:val="20"/>
          <w:lang w:val="nl-BE"/>
        </w:rPr>
        <w:t xml:space="preserve">De medische gegevensbeheerders van de dienst implantaten kunnen, op aanvraag, beschikken over een gecodeerde extract van de geregistreerde gegevens. </w:t>
      </w:r>
    </w:p>
    <w:p w:rsidR="00BD0BA6" w:rsidRPr="009D2A3F" w:rsidRDefault="00BD0BA6" w:rsidP="002D70F9">
      <w:pPr>
        <w:pStyle w:val="Default"/>
        <w:ind w:left="720"/>
        <w:rPr>
          <w:strike/>
          <w:sz w:val="20"/>
          <w:szCs w:val="20"/>
          <w:lang w:val="nl-BE"/>
        </w:rPr>
      </w:pPr>
    </w:p>
    <w:p w:rsidR="00E37511" w:rsidRPr="009D2A3F" w:rsidRDefault="00E37511" w:rsidP="00E37511">
      <w:pPr>
        <w:pStyle w:val="Default"/>
        <w:numPr>
          <w:ilvl w:val="0"/>
          <w:numId w:val="2"/>
        </w:numPr>
        <w:rPr>
          <w:sz w:val="20"/>
          <w:szCs w:val="20"/>
          <w:lang w:val="nl-BE"/>
        </w:rPr>
      </w:pPr>
      <w:r w:rsidRPr="009D2A3F">
        <w:rPr>
          <w:i/>
          <w:iCs/>
          <w:sz w:val="20"/>
          <w:szCs w:val="20"/>
          <w:lang w:val="nl-BE"/>
        </w:rPr>
        <w:t xml:space="preserve">Overdracht aan het Belgisch Genootschap voor Vaatheelkunde: </w:t>
      </w:r>
    </w:p>
    <w:p w:rsidR="002D70F9" w:rsidRPr="009D2A3F" w:rsidRDefault="00E37511" w:rsidP="00E37511">
      <w:pPr>
        <w:pStyle w:val="Default"/>
        <w:ind w:left="720"/>
        <w:rPr>
          <w:b/>
          <w:sz w:val="20"/>
          <w:szCs w:val="20"/>
          <w:lang w:val="nl-BE"/>
        </w:rPr>
      </w:pPr>
      <w:r w:rsidRPr="009D2A3F">
        <w:rPr>
          <w:sz w:val="20"/>
          <w:szCs w:val="20"/>
          <w:lang w:val="nl-BE"/>
        </w:rPr>
        <w:t>Het BGVH kan, op aanvraag, beschikken over een extract van de geregistreerde gegevens</w:t>
      </w:r>
      <w:r w:rsidR="002D70F9" w:rsidRPr="009D2A3F">
        <w:rPr>
          <w:b/>
          <w:sz w:val="20"/>
          <w:szCs w:val="20"/>
          <w:lang w:val="nl-BE"/>
        </w:rPr>
        <w:t>;</w:t>
      </w:r>
    </w:p>
    <w:p w:rsidR="002D70F9" w:rsidRPr="007417D8" w:rsidRDefault="002D70F9" w:rsidP="002D70F9">
      <w:pPr>
        <w:pStyle w:val="Default"/>
        <w:ind w:left="720"/>
        <w:rPr>
          <w:strike/>
          <w:sz w:val="20"/>
          <w:szCs w:val="20"/>
          <w:lang w:val="nl-BE"/>
        </w:rPr>
      </w:pPr>
    </w:p>
    <w:p w:rsidR="00262AF7" w:rsidRDefault="00262AF7" w:rsidP="00262AF7">
      <w:pPr>
        <w:pStyle w:val="Default"/>
        <w:rPr>
          <w:b/>
          <w:bCs/>
          <w:i/>
          <w:iCs/>
          <w:sz w:val="20"/>
          <w:szCs w:val="20"/>
          <w:lang w:val="nl-BE"/>
        </w:rPr>
      </w:pPr>
    </w:p>
    <w:p w:rsidR="00262AF7" w:rsidRPr="007417D8" w:rsidRDefault="00262AF7" w:rsidP="00262AF7">
      <w:pPr>
        <w:pStyle w:val="Default"/>
        <w:rPr>
          <w:sz w:val="20"/>
          <w:szCs w:val="20"/>
          <w:lang w:val="nl-BE"/>
        </w:rPr>
      </w:pPr>
      <w:r w:rsidRPr="007417D8">
        <w:rPr>
          <w:b/>
          <w:bCs/>
          <w:i/>
          <w:iCs/>
          <w:sz w:val="20"/>
          <w:szCs w:val="20"/>
          <w:lang w:val="nl-BE"/>
        </w:rPr>
        <w:t xml:space="preserve">Bijkomende informatie </w:t>
      </w:r>
    </w:p>
    <w:p w:rsidR="00262AF7" w:rsidRPr="007417D8" w:rsidRDefault="00262AF7" w:rsidP="00262AF7">
      <w:pPr>
        <w:pStyle w:val="Default"/>
        <w:rPr>
          <w:sz w:val="20"/>
          <w:szCs w:val="20"/>
          <w:lang w:val="nl-BE"/>
        </w:rPr>
      </w:pPr>
      <w:r w:rsidRPr="007417D8">
        <w:rPr>
          <w:sz w:val="20"/>
          <w:szCs w:val="20"/>
          <w:lang w:val="nl-BE"/>
        </w:rPr>
        <w:t>Registratie, validatie e</w:t>
      </w:r>
      <w:bookmarkStart w:id="0" w:name="_GoBack"/>
      <w:bookmarkEnd w:id="0"/>
      <w:r w:rsidRPr="007417D8">
        <w:rPr>
          <w:sz w:val="20"/>
          <w:szCs w:val="20"/>
          <w:lang w:val="nl-BE"/>
        </w:rPr>
        <w:t xml:space="preserve">n correctie van de gegevens: </w:t>
      </w:r>
    </w:p>
    <w:p w:rsidR="00262AF7" w:rsidRDefault="006B3C7E" w:rsidP="00262AF7">
      <w:pPr>
        <w:pStyle w:val="Default"/>
        <w:rPr>
          <w:sz w:val="20"/>
          <w:szCs w:val="20"/>
          <w:lang w:val="nl-BE"/>
        </w:rPr>
      </w:pPr>
      <w:hyperlink r:id="rId6" w:history="1">
        <w:r w:rsidR="00262AF7" w:rsidRPr="00650231">
          <w:rPr>
            <w:rStyle w:val="Hyperlink"/>
            <w:sz w:val="20"/>
            <w:szCs w:val="20"/>
            <w:lang w:val="nl-BE"/>
          </w:rPr>
          <w:t>https://www.ehealth.fgov.be/nl/zorgverleners/online-diensten/qermid%C2%A9endoprotheses</w:t>
        </w:r>
      </w:hyperlink>
      <w:r w:rsidR="00262AF7" w:rsidRPr="007417D8">
        <w:rPr>
          <w:sz w:val="20"/>
          <w:szCs w:val="20"/>
          <w:lang w:val="nl-BE"/>
        </w:rPr>
        <w:t xml:space="preserve"> </w:t>
      </w:r>
    </w:p>
    <w:p w:rsidR="00262AF7" w:rsidRDefault="00262AF7" w:rsidP="00262AF7">
      <w:pPr>
        <w:pStyle w:val="Default"/>
        <w:rPr>
          <w:sz w:val="20"/>
          <w:szCs w:val="20"/>
          <w:lang w:val="nl-BE"/>
        </w:rPr>
      </w:pPr>
    </w:p>
    <w:p w:rsidR="00262AF7" w:rsidRPr="007417D8" w:rsidRDefault="00262AF7" w:rsidP="00262AF7">
      <w:pPr>
        <w:pStyle w:val="Default"/>
        <w:rPr>
          <w:sz w:val="20"/>
          <w:szCs w:val="20"/>
          <w:lang w:val="nl-BE"/>
        </w:rPr>
      </w:pPr>
    </w:p>
    <w:p w:rsidR="00262AF7" w:rsidRPr="007417D8" w:rsidRDefault="00262AF7" w:rsidP="00262AF7">
      <w:pPr>
        <w:rPr>
          <w:lang w:val="nl-BE"/>
        </w:rPr>
      </w:pPr>
      <w:r w:rsidRPr="007417D8">
        <w:rPr>
          <w:sz w:val="20"/>
          <w:szCs w:val="20"/>
          <w:lang w:val="nl-BE"/>
        </w:rPr>
        <w:t>* Een registratie komt overeen met een implantatie van een endoprothese of een follow-up.</w:t>
      </w:r>
    </w:p>
    <w:p w:rsidR="00EB420C" w:rsidRPr="007417D8" w:rsidRDefault="00EB420C" w:rsidP="007417D8">
      <w:pPr>
        <w:rPr>
          <w:lang w:val="nl-BE"/>
        </w:rPr>
      </w:pPr>
    </w:p>
    <w:sectPr w:rsidR="00EB420C" w:rsidRPr="00741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508B"/>
    <w:multiLevelType w:val="hybridMultilevel"/>
    <w:tmpl w:val="12FE0A24"/>
    <w:lvl w:ilvl="0" w:tplc="0F1603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774D72"/>
    <w:multiLevelType w:val="hybridMultilevel"/>
    <w:tmpl w:val="A8A68716"/>
    <w:lvl w:ilvl="0" w:tplc="0F1603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D8"/>
    <w:rsid w:val="00087064"/>
    <w:rsid w:val="00262AF7"/>
    <w:rsid w:val="002D70F9"/>
    <w:rsid w:val="006B3C7E"/>
    <w:rsid w:val="007417D8"/>
    <w:rsid w:val="008221E3"/>
    <w:rsid w:val="009D2A3F"/>
    <w:rsid w:val="009E0507"/>
    <w:rsid w:val="00BD0BA6"/>
    <w:rsid w:val="00D278E2"/>
    <w:rsid w:val="00D36217"/>
    <w:rsid w:val="00E37511"/>
    <w:rsid w:val="00EB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7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17D8"/>
    <w:rPr>
      <w:color w:val="0000FF" w:themeColor="hyperlink"/>
      <w:u w:val="single"/>
    </w:rPr>
  </w:style>
  <w:style w:type="paragraph" w:styleId="BalloonText">
    <w:name w:val="Balloon Text"/>
    <w:basedOn w:val="Normal"/>
    <w:link w:val="BalloonTextChar"/>
    <w:uiPriority w:val="99"/>
    <w:semiHidden/>
    <w:unhideWhenUsed/>
    <w:rsid w:val="00D36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7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17D8"/>
    <w:rPr>
      <w:color w:val="0000FF" w:themeColor="hyperlink"/>
      <w:u w:val="single"/>
    </w:rPr>
  </w:style>
  <w:style w:type="paragraph" w:styleId="BalloonText">
    <w:name w:val="Balloon Text"/>
    <w:basedOn w:val="Normal"/>
    <w:link w:val="BalloonTextChar"/>
    <w:uiPriority w:val="99"/>
    <w:semiHidden/>
    <w:unhideWhenUsed/>
    <w:rsid w:val="00D36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health.fgov.be/nl/zorgverleners/online-diensten/qermid%C2%A9endoprotheses"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2018-01-29T23:00:00+00:00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Fournisseur d'implants</TermName>
          <TermId xmlns="http://schemas.microsoft.com/office/infopath/2007/PartnerControls">32e61022-0ba2-4c25-bb04-37379b38db88</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75</Value>
      <Value>47</Value>
      <Value>12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Implants</TermName>
          <TermId xmlns="http://schemas.microsoft.com/office/infopath/2007/PartnerControls">2680c5d1-fdfc-4739-8c51-aaa21867efc1</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12171B2C-B0FC-4697-8C55-E860057B35C9}"/>
</file>

<file path=customXml/itemProps2.xml><?xml version="1.0" encoding="utf-8"?>
<ds:datastoreItem xmlns:ds="http://schemas.openxmlformats.org/officeDocument/2006/customXml" ds:itemID="{52774428-5F20-4870-B5E9-74992817CEC5}"/>
</file>

<file path=customXml/itemProps3.xml><?xml version="1.0" encoding="utf-8"?>
<ds:datastoreItem xmlns:ds="http://schemas.openxmlformats.org/officeDocument/2006/customXml" ds:itemID="{8B9AE8EF-8715-412F-811A-FBCF8CBF086F}"/>
</file>

<file path=docProps/app.xml><?xml version="1.0" encoding="utf-8"?>
<Properties xmlns="http://schemas.openxmlformats.org/officeDocument/2006/extended-properties" xmlns:vt="http://schemas.openxmlformats.org/officeDocument/2006/docPropsVTypes">
  <Template>715F3B7B</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Modaliteiten voor de registratie van gegevens betreffende de endoprothesen </dc:title>
  <dc:creator>Koen De Smet</dc:creator>
  <cp:lastModifiedBy>Koen De Smet</cp:lastModifiedBy>
  <cp:revision>2</cp:revision>
  <dcterms:created xsi:type="dcterms:W3CDTF">2018-01-30T10:59:00Z</dcterms:created>
  <dcterms:modified xsi:type="dcterms:W3CDTF">2018-01-30T10:59:00Z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47;#Fournisseur d'implants|32e61022-0ba2-4c25-bb04-37379b38db88</vt:lpwstr>
  </property>
  <property fmtid="{D5CDD505-2E9C-101B-9397-08002B2CF9AE}" pid="4" name="RITheme">
    <vt:lpwstr>75;#Implants|2680c5d1-fdfc-4739-8c51-aaa21867efc1</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ies>
</file>