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E45" w:rsidRDefault="00E07659" w:rsidP="00450FB1">
      <w:pPr>
        <w:pStyle w:val="Heading1"/>
        <w:spacing w:after="240"/>
        <w:jc w:val="both"/>
        <w:rPr>
          <w:lang w:val="nl-BE"/>
        </w:rPr>
      </w:pPr>
      <w:r w:rsidRPr="00E07659">
        <w:rPr>
          <w:lang w:val="nl-BE"/>
        </w:rPr>
        <w:t xml:space="preserve">Veel gestelde vragen – opsporingstesten </w:t>
      </w:r>
      <w:r w:rsidR="00844F13">
        <w:rPr>
          <w:lang w:val="nl-BE"/>
        </w:rPr>
        <w:t>Covid-19</w:t>
      </w:r>
      <w:r w:rsidR="00B05E45">
        <w:rPr>
          <w:lang w:val="nl-BE"/>
        </w:rPr>
        <w:t xml:space="preserve"> </w:t>
      </w:r>
    </w:p>
    <w:p w:rsidR="00844F13" w:rsidRDefault="00A676E4" w:rsidP="00B05E45">
      <w:pPr>
        <w:pStyle w:val="Heading2"/>
        <w:rPr>
          <w:lang w:val="nl-BE"/>
        </w:rPr>
      </w:pPr>
      <w:r>
        <w:rPr>
          <w:lang w:val="nl-BE"/>
        </w:rPr>
        <w:t>10</w:t>
      </w:r>
      <w:r w:rsidR="00B05E45">
        <w:rPr>
          <w:lang w:val="nl-BE"/>
        </w:rPr>
        <w:t>-06-2020</w:t>
      </w:r>
    </w:p>
    <w:p w:rsidR="00B05E45" w:rsidRPr="00B05E45" w:rsidRDefault="00B05E45" w:rsidP="00B05E45">
      <w:pPr>
        <w:rPr>
          <w:lang w:val="nl-BE"/>
        </w:rPr>
      </w:pPr>
    </w:p>
    <w:p w:rsidR="00BA06CB" w:rsidRPr="00615D77" w:rsidRDefault="00481888" w:rsidP="00615D77">
      <w:pPr>
        <w:pStyle w:val="ListParagraph"/>
        <w:numPr>
          <w:ilvl w:val="0"/>
          <w:numId w:val="2"/>
        </w:numPr>
        <w:tabs>
          <w:tab w:val="left" w:pos="426"/>
        </w:tabs>
        <w:spacing w:after="120"/>
        <w:ind w:left="426" w:hanging="426"/>
        <w:jc w:val="both"/>
        <w:rPr>
          <w:b/>
          <w:lang w:val="fr-BE"/>
        </w:rPr>
      </w:pPr>
      <w:r w:rsidRPr="00615D77">
        <w:rPr>
          <w:b/>
          <w:lang w:val="fr-BE"/>
        </w:rPr>
        <w:t xml:space="preserve">Wordt een bewoner die periodiek in een collectiviteit verblijft </w:t>
      </w:r>
      <w:r w:rsidR="00C54346" w:rsidRPr="00615D77">
        <w:rPr>
          <w:b/>
          <w:lang w:val="fr-BE"/>
        </w:rPr>
        <w:t xml:space="preserve">bij terugkomst </w:t>
      </w:r>
      <w:r w:rsidRPr="00615D77">
        <w:rPr>
          <w:b/>
          <w:lang w:val="fr-BE"/>
        </w:rPr>
        <w:t xml:space="preserve">beschouwd als een ‘nieuwe bewoner’ </w:t>
      </w:r>
      <w:r w:rsidR="00C54346" w:rsidRPr="00615D77">
        <w:rPr>
          <w:b/>
          <w:lang w:val="fr-BE"/>
        </w:rPr>
        <w:t>van de instelling</w:t>
      </w:r>
      <w:r w:rsidRPr="00615D77">
        <w:rPr>
          <w:b/>
          <w:lang w:val="fr-BE"/>
        </w:rPr>
        <w:t>?</w:t>
      </w:r>
    </w:p>
    <w:p w:rsidR="00BA06CB" w:rsidRPr="00BA06CB" w:rsidRDefault="00BA06CB" w:rsidP="00195056">
      <w:pPr>
        <w:spacing w:after="240"/>
        <w:jc w:val="both"/>
        <w:rPr>
          <w:lang w:val="nl-BE"/>
        </w:rPr>
      </w:pPr>
      <w:r>
        <w:rPr>
          <w:lang w:val="nl-BE"/>
        </w:rPr>
        <w:t>Neen, enkel personen die voor de eerste keer verblijven in een collectiviteit worden beschouwd als nieuwe bewoners</w:t>
      </w:r>
      <w:r w:rsidR="00C54346">
        <w:rPr>
          <w:lang w:val="nl-BE"/>
        </w:rPr>
        <w:t xml:space="preserve"> volgens de testrichtlijnen</w:t>
      </w:r>
      <w:r>
        <w:rPr>
          <w:lang w:val="nl-BE"/>
        </w:rPr>
        <w:t>.</w:t>
      </w:r>
    </w:p>
    <w:p w:rsidR="00BA06CB" w:rsidRPr="00615D77" w:rsidRDefault="00481888" w:rsidP="00615D77">
      <w:pPr>
        <w:pStyle w:val="ListParagraph"/>
        <w:numPr>
          <w:ilvl w:val="0"/>
          <w:numId w:val="2"/>
        </w:numPr>
        <w:tabs>
          <w:tab w:val="left" w:pos="426"/>
        </w:tabs>
        <w:spacing w:after="120"/>
        <w:ind w:left="426" w:hanging="426"/>
        <w:jc w:val="both"/>
        <w:rPr>
          <w:b/>
          <w:lang w:val="fr-BE"/>
        </w:rPr>
      </w:pPr>
      <w:r w:rsidRPr="00615D77">
        <w:rPr>
          <w:b/>
          <w:lang w:val="fr-BE"/>
        </w:rPr>
        <w:t xml:space="preserve">Kan een </w:t>
      </w:r>
      <w:r w:rsidR="00C54346" w:rsidRPr="00615D77">
        <w:rPr>
          <w:b/>
          <w:lang w:val="fr-BE"/>
        </w:rPr>
        <w:t>moleculaire</w:t>
      </w:r>
      <w:r w:rsidRPr="00615D77">
        <w:rPr>
          <w:b/>
          <w:lang w:val="fr-BE"/>
        </w:rPr>
        <w:t xml:space="preserve"> test aangerekend worden aan een instelling of bedrijf?</w:t>
      </w:r>
    </w:p>
    <w:p w:rsidR="00844F13" w:rsidRDefault="00844F13" w:rsidP="00195056">
      <w:pPr>
        <w:spacing w:after="240"/>
        <w:jc w:val="both"/>
        <w:rPr>
          <w:lang w:val="nl-BE"/>
        </w:rPr>
      </w:pPr>
      <w:r>
        <w:rPr>
          <w:lang w:val="nl-BE"/>
        </w:rPr>
        <w:t xml:space="preserve">Ja, KB nr. 20 van 13 mei 2020 houdende </w:t>
      </w:r>
      <w:r w:rsidRPr="00844F13">
        <w:rPr>
          <w:lang w:val="nl-BE"/>
        </w:rPr>
        <w:t>tijdelijke maatregelen in de strijd tegen de COVID-19 pandemie en ter verzekering van de continuïteit van zorg in de verplichte verzekering voor geneeskundige verzorging</w:t>
      </w:r>
      <w:r>
        <w:rPr>
          <w:lang w:val="nl-BE"/>
        </w:rPr>
        <w:t xml:space="preserve"> verbiedt in artikel 66 enkel de aanrekening aan de patiënt of de verplichte verzekering voor geneeskundige verzorging.</w:t>
      </w:r>
    </w:p>
    <w:p w:rsidR="004A7BCD" w:rsidRDefault="004A7BCD" w:rsidP="004A7BCD">
      <w:pPr>
        <w:rPr>
          <w:lang w:val="nl-BE"/>
        </w:rPr>
      </w:pPr>
      <w:r w:rsidRPr="004A7BCD">
        <w:rPr>
          <w:lang w:val="nl-BE"/>
        </w:rPr>
        <w:t xml:space="preserve">Deze testen </w:t>
      </w:r>
      <w:r>
        <w:rPr>
          <w:lang w:val="nl-BE"/>
        </w:rPr>
        <w:t>kunne</w:t>
      </w:r>
      <w:r w:rsidRPr="004A7BCD">
        <w:rPr>
          <w:lang w:val="nl-BE"/>
        </w:rPr>
        <w:t>n door de arbeidsgeneesheer voorgeschreven worden, of op initiatief van het bedrijf uitgevoerd worden. De resultaten mogen enkel aan de arbeidsgeneesheer, aan een door de medewerker aangeduide arts en/of aan de medewerker zelf medegedeeld worden.</w:t>
      </w:r>
    </w:p>
    <w:p w:rsidR="004A7BCD" w:rsidRPr="004A7BCD" w:rsidRDefault="004A7BCD" w:rsidP="004A7BCD">
      <w:pPr>
        <w:rPr>
          <w:lang w:val="nl-BE"/>
        </w:rPr>
      </w:pPr>
      <w:r w:rsidRPr="004A7BCD">
        <w:rPr>
          <w:lang w:val="nl-BE"/>
        </w:rPr>
        <w:t>Indien deze testen niet op vraag van een arts aangevraagd zijn, moet de onderzochte medewerker hiertoe zelf het initiatief nemen en schriftelijk zijn toelating geven</w:t>
      </w:r>
      <w:r>
        <w:rPr>
          <w:lang w:val="nl-BE"/>
        </w:rPr>
        <w:t>.</w:t>
      </w:r>
    </w:p>
    <w:p w:rsidR="00E07659" w:rsidRPr="00615D77" w:rsidRDefault="00E07659" w:rsidP="00615D77">
      <w:pPr>
        <w:pStyle w:val="ListParagraph"/>
        <w:numPr>
          <w:ilvl w:val="0"/>
          <w:numId w:val="2"/>
        </w:numPr>
        <w:tabs>
          <w:tab w:val="left" w:pos="426"/>
        </w:tabs>
        <w:spacing w:after="120"/>
        <w:ind w:left="426" w:hanging="426"/>
        <w:jc w:val="both"/>
        <w:rPr>
          <w:b/>
          <w:lang w:val="fr-BE"/>
        </w:rPr>
      </w:pPr>
      <w:r w:rsidRPr="00615D77">
        <w:rPr>
          <w:b/>
          <w:lang w:val="fr-BE"/>
        </w:rPr>
        <w:t>Hoe moeten we de 4e doelgroep voor de serologische testen interpreteren?</w:t>
      </w:r>
    </w:p>
    <w:p w:rsidR="00743FC8" w:rsidRDefault="0002749C" w:rsidP="00450FB1">
      <w:pPr>
        <w:jc w:val="both"/>
        <w:rPr>
          <w:lang w:val="nl-BE"/>
        </w:rPr>
      </w:pPr>
      <w:r>
        <w:rPr>
          <w:lang w:val="nl-BE"/>
        </w:rPr>
        <w:t>het KB van 29</w:t>
      </w:r>
      <w:r w:rsidR="00C54346">
        <w:rPr>
          <w:lang w:val="nl-BE"/>
        </w:rPr>
        <w:t xml:space="preserve"> mei 2020</w:t>
      </w:r>
      <w:r w:rsidR="00844F13">
        <w:rPr>
          <w:lang w:val="nl-BE"/>
        </w:rPr>
        <w:t xml:space="preserve"> </w:t>
      </w:r>
      <w:r w:rsidR="00743FC8">
        <w:rPr>
          <w:lang w:val="nl-BE"/>
        </w:rPr>
        <w:t>betreffende de doelgroepen en vergoedingsvoorwaarden voor de serologische testen bepaalt</w:t>
      </w:r>
      <w:r w:rsidR="00844F13">
        <w:rPr>
          <w:lang w:val="nl-BE"/>
        </w:rPr>
        <w:t xml:space="preserve"> artikel</w:t>
      </w:r>
      <w:r w:rsidR="00743FC8">
        <w:rPr>
          <w:lang w:val="nl-BE"/>
        </w:rPr>
        <w:t xml:space="preserve"> 3 de doelgroepen </w:t>
      </w:r>
      <w:r w:rsidR="00FF0332">
        <w:rPr>
          <w:lang w:val="nl-BE"/>
        </w:rPr>
        <w:t>die in aanmerking komen voor</w:t>
      </w:r>
      <w:r w:rsidR="00743FC8">
        <w:rPr>
          <w:lang w:val="nl-BE"/>
        </w:rPr>
        <w:t xml:space="preserve"> de</w:t>
      </w:r>
      <w:r w:rsidR="00FF0332">
        <w:rPr>
          <w:lang w:val="nl-BE"/>
        </w:rPr>
        <w:t xml:space="preserve"> terugbetaling</w:t>
      </w:r>
      <w:r w:rsidR="00743FC8">
        <w:rPr>
          <w:lang w:val="nl-BE"/>
        </w:rPr>
        <w:t xml:space="preserve"> door het RIZIV . De 4</w:t>
      </w:r>
      <w:r w:rsidR="00743FC8" w:rsidRPr="00743FC8">
        <w:rPr>
          <w:vertAlign w:val="superscript"/>
          <w:lang w:val="nl-BE"/>
        </w:rPr>
        <w:t>e</w:t>
      </w:r>
      <w:r w:rsidR="00743FC8">
        <w:rPr>
          <w:lang w:val="nl-BE"/>
        </w:rPr>
        <w:t xml:space="preserve"> doelgroep wordt als volgt omschreven:</w:t>
      </w:r>
    </w:p>
    <w:p w:rsidR="00743FC8" w:rsidRPr="00D474E8" w:rsidRDefault="00743FC8" w:rsidP="00450FB1">
      <w:pPr>
        <w:jc w:val="both"/>
        <w:rPr>
          <w:rFonts w:ascii="Arial" w:hAnsi="Arial" w:cs="Arial"/>
          <w:color w:val="000000"/>
          <w:sz w:val="20"/>
          <w:szCs w:val="20"/>
          <w:lang w:val="nl-BE"/>
        </w:rPr>
      </w:pPr>
      <w:r>
        <w:rPr>
          <w:rFonts w:ascii="Arial" w:hAnsi="Arial" w:cs="Arial"/>
          <w:color w:val="000000"/>
          <w:sz w:val="20"/>
          <w:szCs w:val="20"/>
          <w:lang w:val="nl-BE"/>
        </w:rPr>
        <w:t>“</w:t>
      </w:r>
      <w:r w:rsidRPr="009867D7">
        <w:rPr>
          <w:rFonts w:ascii="Arial" w:hAnsi="Arial" w:cs="Arial"/>
          <w:color w:val="000000"/>
          <w:sz w:val="20"/>
          <w:szCs w:val="20"/>
          <w:lang w:val="nl-BE"/>
        </w:rPr>
        <w:t>zorgverleners en personeel</w:t>
      </w:r>
      <w:r w:rsidR="000F1F69">
        <w:rPr>
          <w:rFonts w:ascii="Arial" w:hAnsi="Arial" w:cs="Arial"/>
          <w:color w:val="000000"/>
          <w:sz w:val="20"/>
          <w:szCs w:val="20"/>
          <w:lang w:val="nl-BE"/>
        </w:rPr>
        <w:t xml:space="preserve"> die</w:t>
      </w:r>
      <w:r>
        <w:rPr>
          <w:rFonts w:ascii="Arial" w:hAnsi="Arial" w:cs="Arial"/>
          <w:color w:val="000000"/>
          <w:sz w:val="20"/>
          <w:szCs w:val="20"/>
          <w:lang w:val="nl-BE"/>
        </w:rPr>
        <w:t xml:space="preserve"> </w:t>
      </w:r>
      <w:r w:rsidRPr="009867D7">
        <w:rPr>
          <w:rFonts w:ascii="Arial" w:hAnsi="Arial" w:cs="Arial"/>
          <w:color w:val="000000"/>
          <w:sz w:val="20"/>
          <w:szCs w:val="20"/>
          <w:lang w:val="nl-BE"/>
        </w:rPr>
        <w:t>werkzaam</w:t>
      </w:r>
      <w:r w:rsidR="000F1F69">
        <w:rPr>
          <w:rFonts w:ascii="Arial" w:hAnsi="Arial" w:cs="Arial"/>
          <w:color w:val="000000"/>
          <w:sz w:val="20"/>
          <w:szCs w:val="20"/>
          <w:lang w:val="nl-BE"/>
        </w:rPr>
        <w:t xml:space="preserve"> zijn</w:t>
      </w:r>
      <w:r w:rsidRPr="009867D7">
        <w:rPr>
          <w:rFonts w:ascii="Arial" w:hAnsi="Arial" w:cs="Arial"/>
          <w:color w:val="000000"/>
          <w:sz w:val="20"/>
          <w:szCs w:val="20"/>
          <w:lang w:val="nl-BE"/>
        </w:rPr>
        <w:t xml:space="preserve"> </w:t>
      </w:r>
      <w:r>
        <w:rPr>
          <w:rFonts w:ascii="Arial" w:hAnsi="Arial" w:cs="Arial"/>
          <w:color w:val="000000"/>
          <w:sz w:val="20"/>
          <w:szCs w:val="20"/>
          <w:lang w:val="nl-BE"/>
        </w:rPr>
        <w:t>in</w:t>
      </w:r>
      <w:r w:rsidRPr="009867D7">
        <w:rPr>
          <w:rFonts w:ascii="Arial" w:hAnsi="Arial" w:cs="Arial"/>
          <w:color w:val="000000"/>
          <w:sz w:val="20"/>
          <w:szCs w:val="20"/>
          <w:lang w:val="nl-BE"/>
        </w:rPr>
        <w:t xml:space="preserve"> ziekenhuizen, </w:t>
      </w:r>
      <w:r>
        <w:rPr>
          <w:rFonts w:ascii="Arial" w:hAnsi="Arial" w:cs="Arial"/>
          <w:color w:val="000000"/>
          <w:sz w:val="20"/>
          <w:szCs w:val="20"/>
          <w:lang w:val="nl-BE"/>
        </w:rPr>
        <w:t>k</w:t>
      </w:r>
      <w:r w:rsidRPr="009867D7">
        <w:rPr>
          <w:rFonts w:ascii="Arial" w:hAnsi="Arial" w:cs="Arial"/>
          <w:color w:val="000000"/>
          <w:sz w:val="20"/>
          <w:szCs w:val="20"/>
          <w:lang w:val="nl-BE"/>
        </w:rPr>
        <w:t xml:space="preserve">linische laboratoria of </w:t>
      </w:r>
      <w:r>
        <w:rPr>
          <w:rFonts w:ascii="Arial" w:hAnsi="Arial" w:cs="Arial"/>
          <w:color w:val="000000"/>
          <w:sz w:val="20"/>
          <w:szCs w:val="20"/>
          <w:lang w:val="nl-BE"/>
        </w:rPr>
        <w:t xml:space="preserve"> </w:t>
      </w:r>
      <w:r w:rsidRPr="009867D7">
        <w:rPr>
          <w:rFonts w:ascii="Arial" w:hAnsi="Arial" w:cs="Arial"/>
          <w:color w:val="000000"/>
          <w:sz w:val="20"/>
          <w:szCs w:val="20"/>
          <w:lang w:val="nl-BE"/>
        </w:rPr>
        <w:t>collectiviteiten</w:t>
      </w:r>
      <w:r>
        <w:rPr>
          <w:rFonts w:ascii="Arial" w:hAnsi="Arial" w:cs="Arial"/>
          <w:color w:val="000000"/>
          <w:sz w:val="20"/>
          <w:szCs w:val="20"/>
          <w:lang w:val="nl-BE"/>
        </w:rPr>
        <w:t>,</w:t>
      </w:r>
      <w:r w:rsidRPr="009867D7">
        <w:rPr>
          <w:rFonts w:ascii="Arial" w:hAnsi="Arial" w:cs="Arial"/>
          <w:color w:val="000000"/>
          <w:sz w:val="20"/>
          <w:szCs w:val="20"/>
          <w:lang w:val="nl-BE"/>
        </w:rPr>
        <w:t xml:space="preserve"> met een hoge besmettingsgraad (Covid-diensten,</w:t>
      </w:r>
      <w:r>
        <w:rPr>
          <w:rFonts w:ascii="Arial" w:hAnsi="Arial" w:cs="Arial"/>
          <w:color w:val="000000"/>
          <w:sz w:val="20"/>
          <w:szCs w:val="20"/>
          <w:lang w:val="nl-BE"/>
        </w:rPr>
        <w:t xml:space="preserve"> </w:t>
      </w:r>
      <w:r w:rsidRPr="009867D7">
        <w:rPr>
          <w:rFonts w:ascii="Arial" w:hAnsi="Arial" w:cs="Arial"/>
          <w:color w:val="000000"/>
          <w:sz w:val="20"/>
          <w:szCs w:val="20"/>
          <w:lang w:val="nl-BE"/>
        </w:rPr>
        <w:t>woonzorgcentra of klinische laboratoria)</w:t>
      </w:r>
      <w:r>
        <w:rPr>
          <w:rFonts w:ascii="Arial" w:hAnsi="Arial" w:cs="Arial"/>
          <w:color w:val="000000"/>
          <w:sz w:val="20"/>
          <w:szCs w:val="20"/>
          <w:lang w:val="nl-BE"/>
        </w:rPr>
        <w:t>,</w:t>
      </w:r>
      <w:r w:rsidRPr="009867D7">
        <w:rPr>
          <w:rFonts w:ascii="Arial" w:hAnsi="Arial" w:cs="Arial"/>
          <w:color w:val="000000"/>
          <w:sz w:val="20"/>
          <w:szCs w:val="20"/>
          <w:lang w:val="nl-BE"/>
        </w:rPr>
        <w:t xml:space="preserve"> in het kader van lokaal risicomanagement.</w:t>
      </w:r>
      <w:r>
        <w:rPr>
          <w:rFonts w:ascii="Arial" w:hAnsi="Arial" w:cs="Arial"/>
          <w:color w:val="000000"/>
          <w:sz w:val="20"/>
          <w:szCs w:val="20"/>
          <w:lang w:val="nl-BE"/>
        </w:rPr>
        <w:t>”</w:t>
      </w:r>
    </w:p>
    <w:p w:rsidR="00743FC8" w:rsidRDefault="00FF0332" w:rsidP="00450FB1">
      <w:pPr>
        <w:jc w:val="both"/>
        <w:rPr>
          <w:lang w:val="nl-BE"/>
        </w:rPr>
      </w:pPr>
      <w:r>
        <w:rPr>
          <w:lang w:val="nl-BE"/>
        </w:rPr>
        <w:t>Deze doelgroep moet</w:t>
      </w:r>
      <w:r w:rsidR="00743FC8" w:rsidRPr="00743FC8">
        <w:rPr>
          <w:lang w:val="nl-BE"/>
        </w:rPr>
        <w:t xml:space="preserve"> ge</w:t>
      </w:r>
      <w:r w:rsidR="00743FC8">
        <w:rPr>
          <w:lang w:val="nl-BE"/>
        </w:rPr>
        <w:t>ïnterpreteerd worden als volgt:</w:t>
      </w:r>
    </w:p>
    <w:p w:rsidR="00743FC8" w:rsidRDefault="00743FC8" w:rsidP="00450FB1">
      <w:pPr>
        <w:pStyle w:val="ListParagraph"/>
        <w:numPr>
          <w:ilvl w:val="0"/>
          <w:numId w:val="3"/>
        </w:numPr>
        <w:jc w:val="both"/>
        <w:rPr>
          <w:lang w:val="nl-BE"/>
        </w:rPr>
      </w:pPr>
      <w:r w:rsidRPr="00743FC8">
        <w:rPr>
          <w:lang w:val="nl-BE"/>
        </w:rPr>
        <w:t xml:space="preserve">zorgverleners en personeel </w:t>
      </w:r>
      <w:r w:rsidR="009F3656">
        <w:rPr>
          <w:lang w:val="nl-BE"/>
        </w:rPr>
        <w:t xml:space="preserve">die </w:t>
      </w:r>
      <w:r w:rsidRPr="00743FC8">
        <w:rPr>
          <w:lang w:val="nl-BE"/>
        </w:rPr>
        <w:t>werkzaam</w:t>
      </w:r>
      <w:r w:rsidR="009F3656">
        <w:rPr>
          <w:lang w:val="nl-BE"/>
        </w:rPr>
        <w:t xml:space="preserve"> zijn</w:t>
      </w:r>
      <w:r w:rsidRPr="00743FC8">
        <w:rPr>
          <w:lang w:val="nl-BE"/>
        </w:rPr>
        <w:t xml:space="preserve"> in ziekenhuizen met een hoge besmettingsgraad (covid-diensten), in het ka</w:t>
      </w:r>
      <w:r w:rsidR="009F3656">
        <w:rPr>
          <w:lang w:val="nl-BE"/>
        </w:rPr>
        <w:t>der van lokaal risicomanagement;</w:t>
      </w:r>
    </w:p>
    <w:p w:rsidR="00743FC8" w:rsidRDefault="00743FC8" w:rsidP="00450FB1">
      <w:pPr>
        <w:pStyle w:val="ListParagraph"/>
        <w:numPr>
          <w:ilvl w:val="0"/>
          <w:numId w:val="3"/>
        </w:numPr>
        <w:jc w:val="both"/>
        <w:rPr>
          <w:lang w:val="nl-BE"/>
        </w:rPr>
      </w:pPr>
      <w:r w:rsidRPr="00743FC8">
        <w:rPr>
          <w:lang w:val="nl-BE"/>
        </w:rPr>
        <w:t xml:space="preserve">zorgverleners en personeel </w:t>
      </w:r>
      <w:r w:rsidR="009F3656">
        <w:rPr>
          <w:lang w:val="nl-BE"/>
        </w:rPr>
        <w:t xml:space="preserve">die </w:t>
      </w:r>
      <w:r w:rsidRPr="00743FC8">
        <w:rPr>
          <w:lang w:val="nl-BE"/>
        </w:rPr>
        <w:t xml:space="preserve">werkzaam </w:t>
      </w:r>
      <w:r w:rsidR="009F3656">
        <w:rPr>
          <w:lang w:val="nl-BE"/>
        </w:rPr>
        <w:t xml:space="preserve">zijn </w:t>
      </w:r>
      <w:r w:rsidRPr="00743FC8">
        <w:rPr>
          <w:lang w:val="nl-BE"/>
        </w:rPr>
        <w:t>in klinische laboratoria</w:t>
      </w:r>
      <w:r w:rsidR="001509B8">
        <w:rPr>
          <w:lang w:val="nl-BE"/>
        </w:rPr>
        <w:t xml:space="preserve"> met een hoge besmettingsgraad , </w:t>
      </w:r>
      <w:r w:rsidRPr="00743FC8">
        <w:rPr>
          <w:lang w:val="nl-BE"/>
        </w:rPr>
        <w:t>in het kader van lokaal risicomanagement</w:t>
      </w:r>
      <w:r w:rsidR="009F3656">
        <w:rPr>
          <w:lang w:val="nl-BE"/>
        </w:rPr>
        <w:t>;</w:t>
      </w:r>
    </w:p>
    <w:p w:rsidR="00743FC8" w:rsidRDefault="00743FC8" w:rsidP="00C54346">
      <w:pPr>
        <w:pStyle w:val="ListParagraph"/>
        <w:numPr>
          <w:ilvl w:val="0"/>
          <w:numId w:val="3"/>
        </w:numPr>
        <w:spacing w:after="120"/>
        <w:ind w:left="714" w:hanging="357"/>
        <w:jc w:val="both"/>
        <w:rPr>
          <w:lang w:val="nl-BE"/>
        </w:rPr>
      </w:pPr>
      <w:r w:rsidRPr="00743FC8">
        <w:rPr>
          <w:lang w:val="nl-BE"/>
        </w:rPr>
        <w:t xml:space="preserve">zorgverleners en personeel </w:t>
      </w:r>
      <w:r w:rsidR="009F3656">
        <w:rPr>
          <w:lang w:val="nl-BE"/>
        </w:rPr>
        <w:t xml:space="preserve">die </w:t>
      </w:r>
      <w:r w:rsidRPr="00743FC8">
        <w:rPr>
          <w:lang w:val="nl-BE"/>
        </w:rPr>
        <w:t xml:space="preserve">werkzaam </w:t>
      </w:r>
      <w:r w:rsidR="009F3656">
        <w:rPr>
          <w:lang w:val="nl-BE"/>
        </w:rPr>
        <w:t xml:space="preserve">zijn </w:t>
      </w:r>
      <w:r w:rsidRPr="00743FC8">
        <w:rPr>
          <w:lang w:val="nl-BE"/>
        </w:rPr>
        <w:t>in collectiviteiten met een hoge besmettingsgraad (woonzorgcentra), in het kader van lokaal risicomanagement</w:t>
      </w:r>
      <w:r w:rsidR="009F3656">
        <w:rPr>
          <w:lang w:val="nl-BE"/>
        </w:rPr>
        <w:t>.</w:t>
      </w:r>
    </w:p>
    <w:p w:rsidR="00743FC8" w:rsidRDefault="00743FC8" w:rsidP="00195056">
      <w:pPr>
        <w:spacing w:after="240"/>
        <w:jc w:val="both"/>
        <w:rPr>
          <w:lang w:val="nl-BE"/>
        </w:rPr>
      </w:pPr>
      <w:r w:rsidRPr="00743FC8">
        <w:rPr>
          <w:lang w:val="nl-BE"/>
        </w:rPr>
        <w:t>Een zorgverlener die niet actief is op een covid-dienst of in een woonzorgcentrum valt bijvoorbeeld niet onder deze vergoedingsvoorwaarden.</w:t>
      </w:r>
      <w:r w:rsidR="00FF0332">
        <w:rPr>
          <w:lang w:val="nl-BE"/>
        </w:rPr>
        <w:t xml:space="preserve"> Voor een zorgverlener die sporadisch op deze plaatsen werkt kan </w:t>
      </w:r>
      <w:r w:rsidR="00FF0332">
        <w:rPr>
          <w:lang w:val="nl-BE"/>
        </w:rPr>
        <w:lastRenderedPageBreak/>
        <w:t>de kost wel aangerekend worden aan het RIZIV.</w:t>
      </w:r>
      <w:r w:rsidR="0002749C">
        <w:rPr>
          <w:lang w:val="nl-BE"/>
        </w:rPr>
        <w:t xml:space="preserve"> </w:t>
      </w:r>
      <w:r w:rsidR="0002749C" w:rsidRPr="00984527">
        <w:rPr>
          <w:lang w:val="nl-BE"/>
        </w:rPr>
        <w:t xml:space="preserve">Huisartsen of thuisverpleegkundigen die actief zijn in woonzorgcentra of triagecentra vallen </w:t>
      </w:r>
      <w:r w:rsidR="00984527">
        <w:rPr>
          <w:lang w:val="nl-BE"/>
        </w:rPr>
        <w:t xml:space="preserve">dus </w:t>
      </w:r>
      <w:r w:rsidR="0002749C" w:rsidRPr="00984527">
        <w:rPr>
          <w:lang w:val="nl-BE"/>
        </w:rPr>
        <w:t xml:space="preserve">ook </w:t>
      </w:r>
      <w:r w:rsidR="009F3656">
        <w:rPr>
          <w:lang w:val="nl-BE"/>
        </w:rPr>
        <w:t>binnen</w:t>
      </w:r>
      <w:r w:rsidR="0002749C" w:rsidRPr="00984527">
        <w:rPr>
          <w:lang w:val="nl-BE"/>
        </w:rPr>
        <w:t xml:space="preserve"> deze doelgroep</w:t>
      </w:r>
      <w:r w:rsidR="00984527">
        <w:rPr>
          <w:lang w:val="nl-BE"/>
        </w:rPr>
        <w:t>.</w:t>
      </w:r>
    </w:p>
    <w:p w:rsidR="00481888" w:rsidRPr="00615D77" w:rsidRDefault="00481888" w:rsidP="00615D77">
      <w:pPr>
        <w:pStyle w:val="ListParagraph"/>
        <w:numPr>
          <w:ilvl w:val="0"/>
          <w:numId w:val="2"/>
        </w:numPr>
        <w:tabs>
          <w:tab w:val="left" w:pos="426"/>
        </w:tabs>
        <w:spacing w:after="120"/>
        <w:ind w:left="426" w:hanging="426"/>
        <w:jc w:val="both"/>
        <w:rPr>
          <w:b/>
          <w:lang w:val="fr-BE"/>
        </w:rPr>
      </w:pPr>
      <w:r w:rsidRPr="00615D77">
        <w:rPr>
          <w:b/>
          <w:lang w:val="fr-BE"/>
        </w:rPr>
        <w:t xml:space="preserve">Kan een serologische test </w:t>
      </w:r>
      <w:r w:rsidR="00E07659" w:rsidRPr="00615D77">
        <w:rPr>
          <w:b/>
          <w:lang w:val="fr-BE"/>
        </w:rPr>
        <w:t>die</w:t>
      </w:r>
      <w:r w:rsidR="00195056" w:rsidRPr="00615D77">
        <w:rPr>
          <w:b/>
          <w:lang w:val="fr-BE"/>
        </w:rPr>
        <w:t xml:space="preserve"> uitgevoerd wordt bij personen die</w:t>
      </w:r>
      <w:r w:rsidR="00E07659" w:rsidRPr="00615D77">
        <w:rPr>
          <w:b/>
          <w:lang w:val="fr-BE"/>
        </w:rPr>
        <w:t xml:space="preserve"> buiten deze doelgroepen </w:t>
      </w:r>
      <w:r w:rsidR="00195056" w:rsidRPr="00615D77">
        <w:rPr>
          <w:b/>
          <w:lang w:val="fr-BE"/>
        </w:rPr>
        <w:t xml:space="preserve">vallen </w:t>
      </w:r>
      <w:r w:rsidR="00E07659" w:rsidRPr="00615D77">
        <w:rPr>
          <w:b/>
          <w:lang w:val="fr-BE"/>
        </w:rPr>
        <w:t xml:space="preserve">worden </w:t>
      </w:r>
      <w:r w:rsidRPr="00615D77">
        <w:rPr>
          <w:b/>
          <w:lang w:val="fr-BE"/>
        </w:rPr>
        <w:t>aangerekend aan de patiënt?</w:t>
      </w:r>
    </w:p>
    <w:p w:rsidR="004F5714" w:rsidRPr="004F5714" w:rsidRDefault="00457CA7" w:rsidP="00195056">
      <w:pPr>
        <w:spacing w:after="240"/>
        <w:jc w:val="both"/>
        <w:rPr>
          <w:lang w:val="nl-BE"/>
        </w:rPr>
      </w:pPr>
      <w:r>
        <w:rPr>
          <w:lang w:val="nl-BE"/>
        </w:rPr>
        <w:t>Ja, een tarief van 9,60 euro kan worden aangerekend</w:t>
      </w:r>
      <w:r w:rsidR="001509B8">
        <w:rPr>
          <w:lang w:val="nl-BE"/>
        </w:rPr>
        <w:t xml:space="preserve"> voor </w:t>
      </w:r>
      <w:r w:rsidR="00195056">
        <w:rPr>
          <w:lang w:val="nl-BE"/>
        </w:rPr>
        <w:t xml:space="preserve">serologische </w:t>
      </w:r>
      <w:r w:rsidR="001509B8">
        <w:rPr>
          <w:lang w:val="nl-BE"/>
        </w:rPr>
        <w:t xml:space="preserve">testen die </w:t>
      </w:r>
      <w:r w:rsidR="004A7BCD">
        <w:rPr>
          <w:lang w:val="nl-BE"/>
        </w:rPr>
        <w:t xml:space="preserve">sedert 1 maart </w:t>
      </w:r>
      <w:r w:rsidR="001509B8">
        <w:rPr>
          <w:lang w:val="nl-BE"/>
        </w:rPr>
        <w:t>gebeuren bij personen die niet tot de doelgroepen behoren bepaald in het KB</w:t>
      </w:r>
      <w:r w:rsidR="00195056">
        <w:rPr>
          <w:lang w:val="nl-BE"/>
        </w:rPr>
        <w:t xml:space="preserve"> </w:t>
      </w:r>
      <w:r w:rsidR="00984527">
        <w:rPr>
          <w:lang w:val="nl-BE"/>
        </w:rPr>
        <w:t>van 29 mei 2020</w:t>
      </w:r>
      <w:r w:rsidR="001509B8">
        <w:rPr>
          <w:lang w:val="nl-BE"/>
        </w:rPr>
        <w:t>,</w:t>
      </w:r>
      <w:r>
        <w:rPr>
          <w:lang w:val="nl-BE"/>
        </w:rPr>
        <w:t xml:space="preserve"> </w:t>
      </w:r>
      <w:r w:rsidR="001509B8">
        <w:rPr>
          <w:lang w:val="nl-BE"/>
        </w:rPr>
        <w:t xml:space="preserve">indien het </w:t>
      </w:r>
      <w:r w:rsidR="001509B8" w:rsidRPr="005F5054">
        <w:rPr>
          <w:lang w:val="nl-BE"/>
        </w:rPr>
        <w:t>gebruikte</w:t>
      </w:r>
      <w:r w:rsidRPr="005F5054">
        <w:rPr>
          <w:lang w:val="nl-BE"/>
        </w:rPr>
        <w:t xml:space="preserve"> test</w:t>
      </w:r>
      <w:r w:rsidR="001509B8" w:rsidRPr="005F5054">
        <w:rPr>
          <w:lang w:val="nl-BE"/>
        </w:rPr>
        <w:t>materiaal</w:t>
      </w:r>
      <w:r w:rsidRPr="005F5054">
        <w:rPr>
          <w:lang w:val="nl-BE"/>
        </w:rPr>
        <w:t xml:space="preserve"> werd aanbevolen op de </w:t>
      </w:r>
      <w:hyperlink r:id="rId8" w:history="1">
        <w:r w:rsidRPr="005F5054">
          <w:rPr>
            <w:rStyle w:val="Hyperlink"/>
            <w:lang w:val="nl-BE"/>
          </w:rPr>
          <w:t>website van Sciensano</w:t>
        </w:r>
      </w:hyperlink>
      <w:r w:rsidRPr="005F5054">
        <w:rPr>
          <w:lang w:val="nl-BE"/>
        </w:rPr>
        <w:t xml:space="preserve"> en</w:t>
      </w:r>
      <w:r w:rsidR="001509B8" w:rsidRPr="005F5054">
        <w:rPr>
          <w:lang w:val="nl-BE"/>
        </w:rPr>
        <w:t xml:space="preserve"> indien</w:t>
      </w:r>
      <w:r w:rsidRPr="005F5054">
        <w:rPr>
          <w:lang w:val="nl-BE"/>
        </w:rPr>
        <w:t xml:space="preserve"> </w:t>
      </w:r>
      <w:r w:rsidR="001509B8" w:rsidRPr="005F5054">
        <w:rPr>
          <w:lang w:val="nl-BE"/>
        </w:rPr>
        <w:t>de test werd</w:t>
      </w:r>
      <w:r w:rsidRPr="005F5054">
        <w:rPr>
          <w:lang w:val="nl-BE"/>
        </w:rPr>
        <w:t xml:space="preserve"> uitgevoerd</w:t>
      </w:r>
      <w:r>
        <w:rPr>
          <w:lang w:val="nl-BE"/>
        </w:rPr>
        <w:t xml:space="preserve"> in een</w:t>
      </w:r>
      <w:r w:rsidR="001509B8">
        <w:rPr>
          <w:lang w:val="nl-BE"/>
        </w:rPr>
        <w:t xml:space="preserve"> erkend klinisch laboratorium.</w:t>
      </w:r>
    </w:p>
    <w:p w:rsidR="00481888" w:rsidRPr="00615D77" w:rsidRDefault="00E07659" w:rsidP="00615D77">
      <w:pPr>
        <w:pStyle w:val="ListParagraph"/>
        <w:numPr>
          <w:ilvl w:val="0"/>
          <w:numId w:val="2"/>
        </w:numPr>
        <w:tabs>
          <w:tab w:val="left" w:pos="426"/>
        </w:tabs>
        <w:spacing w:after="120"/>
        <w:ind w:left="426" w:hanging="426"/>
        <w:jc w:val="both"/>
        <w:rPr>
          <w:b/>
          <w:lang w:val="fr-BE"/>
        </w:rPr>
      </w:pPr>
      <w:r w:rsidRPr="00615D77">
        <w:rPr>
          <w:b/>
          <w:lang w:val="fr-BE"/>
        </w:rPr>
        <w:t>K</w:t>
      </w:r>
      <w:r w:rsidR="001509B8" w:rsidRPr="00615D77">
        <w:rPr>
          <w:b/>
          <w:lang w:val="fr-BE"/>
        </w:rPr>
        <w:t xml:space="preserve">omt </w:t>
      </w:r>
      <w:r w:rsidRPr="00615D77">
        <w:rPr>
          <w:b/>
          <w:lang w:val="fr-BE"/>
        </w:rPr>
        <w:t xml:space="preserve">een snelle immunochromatografische test </w:t>
      </w:r>
      <w:r w:rsidR="001509B8" w:rsidRPr="00615D77">
        <w:rPr>
          <w:b/>
          <w:lang w:val="fr-BE"/>
        </w:rPr>
        <w:t>in aanmerking voor terugbetaling door het RIZIV</w:t>
      </w:r>
      <w:r w:rsidRPr="00615D77">
        <w:rPr>
          <w:b/>
          <w:lang w:val="fr-BE"/>
        </w:rPr>
        <w:t>?</w:t>
      </w:r>
    </w:p>
    <w:p w:rsidR="001509B8" w:rsidRPr="001509B8" w:rsidRDefault="001509B8" w:rsidP="00195056">
      <w:pPr>
        <w:spacing w:after="240"/>
        <w:jc w:val="both"/>
        <w:rPr>
          <w:lang w:val="nl-BE"/>
        </w:rPr>
      </w:pPr>
      <w:r>
        <w:rPr>
          <w:lang w:val="nl-BE"/>
        </w:rPr>
        <w:t>Neen. Het RIZIV vergoedt enkel de opsporing van antilichamen via immunoassay.</w:t>
      </w:r>
    </w:p>
    <w:p w:rsidR="00450FB1" w:rsidRPr="00615D77" w:rsidRDefault="00450FB1" w:rsidP="00615D77">
      <w:pPr>
        <w:pStyle w:val="ListParagraph"/>
        <w:numPr>
          <w:ilvl w:val="0"/>
          <w:numId w:val="2"/>
        </w:numPr>
        <w:tabs>
          <w:tab w:val="left" w:pos="426"/>
        </w:tabs>
        <w:spacing w:after="120"/>
        <w:ind w:left="426" w:hanging="426"/>
        <w:jc w:val="both"/>
        <w:rPr>
          <w:b/>
          <w:lang w:val="fr-BE"/>
        </w:rPr>
      </w:pPr>
      <w:r w:rsidRPr="00615D77">
        <w:rPr>
          <w:b/>
          <w:lang w:val="fr-BE"/>
        </w:rPr>
        <w:t>Wat zijn</w:t>
      </w:r>
      <w:r w:rsidR="00BA06CB" w:rsidRPr="00615D77">
        <w:rPr>
          <w:b/>
          <w:lang w:val="fr-BE"/>
        </w:rPr>
        <w:t xml:space="preserve"> de bewaartermijnen voor de voorschriften bij de opsporingstesten naar covid-19</w:t>
      </w:r>
      <w:r w:rsidRPr="00615D77">
        <w:rPr>
          <w:b/>
          <w:lang w:val="fr-BE"/>
        </w:rPr>
        <w:t>?</w:t>
      </w:r>
    </w:p>
    <w:p w:rsidR="001509B8" w:rsidRPr="00450FB1" w:rsidRDefault="00450FB1" w:rsidP="00195056">
      <w:pPr>
        <w:spacing w:after="240"/>
        <w:jc w:val="both"/>
        <w:rPr>
          <w:lang w:val="nl-BE"/>
        </w:rPr>
      </w:pPr>
      <w:r w:rsidRPr="00450FB1">
        <w:rPr>
          <w:lang w:val="nl-BE"/>
        </w:rPr>
        <w:t xml:space="preserve">De opsporingstesten i.k.v. de Covid-19-pandemie vallen buiten de klassieke nomenclatuur. </w:t>
      </w:r>
      <w:r w:rsidR="001509B8" w:rsidRPr="00450FB1">
        <w:rPr>
          <w:lang w:val="nl-BE"/>
        </w:rPr>
        <w:t>De bewaartermijne</w:t>
      </w:r>
      <w:r w:rsidR="000A4886" w:rsidRPr="00450FB1">
        <w:rPr>
          <w:lang w:val="nl-BE"/>
        </w:rPr>
        <w:t>n worden</w:t>
      </w:r>
      <w:r>
        <w:rPr>
          <w:lang w:val="nl-BE"/>
        </w:rPr>
        <w:t xml:space="preserve"> ook </w:t>
      </w:r>
      <w:r w:rsidR="000A4886" w:rsidRPr="00450FB1">
        <w:rPr>
          <w:lang w:val="nl-BE"/>
        </w:rPr>
        <w:t>niet gespecifieerd in het KB nr.20 van 13 mei 2020. We hanteren hier eenzelfde termijn als bij de verstrekkingen uit de nomenclatuur,</w:t>
      </w:r>
      <w:r w:rsidR="00195056">
        <w:rPr>
          <w:lang w:val="nl-BE"/>
        </w:rPr>
        <w:t xml:space="preserve"> namelijk</w:t>
      </w:r>
      <w:r w:rsidR="000A4886" w:rsidRPr="00450FB1">
        <w:rPr>
          <w:lang w:val="nl-BE"/>
        </w:rPr>
        <w:t xml:space="preserve"> 5 jaar.</w:t>
      </w:r>
    </w:p>
    <w:p w:rsidR="000A4886" w:rsidRPr="00615D77" w:rsidRDefault="00BA06CB" w:rsidP="00615D77">
      <w:pPr>
        <w:pStyle w:val="ListParagraph"/>
        <w:numPr>
          <w:ilvl w:val="0"/>
          <w:numId w:val="2"/>
        </w:numPr>
        <w:tabs>
          <w:tab w:val="left" w:pos="426"/>
        </w:tabs>
        <w:spacing w:after="120"/>
        <w:ind w:left="426" w:hanging="426"/>
        <w:jc w:val="both"/>
        <w:rPr>
          <w:b/>
          <w:lang w:val="fr-BE"/>
        </w:rPr>
      </w:pPr>
      <w:r w:rsidRPr="00615D77">
        <w:rPr>
          <w:b/>
          <w:lang w:val="fr-BE"/>
        </w:rPr>
        <w:t>Hoe moeten de aanvraagformulieren worden bewaard?</w:t>
      </w:r>
    </w:p>
    <w:p w:rsidR="000A4886" w:rsidRDefault="000A4886" w:rsidP="00195056">
      <w:pPr>
        <w:spacing w:after="240"/>
        <w:jc w:val="both"/>
        <w:rPr>
          <w:lang w:val="nl-BE"/>
        </w:rPr>
      </w:pPr>
      <w:r>
        <w:rPr>
          <w:lang w:val="nl-BE"/>
        </w:rPr>
        <w:t xml:space="preserve">artikel </w:t>
      </w:r>
      <w:r w:rsidR="00450FB1">
        <w:rPr>
          <w:lang w:val="nl-BE"/>
        </w:rPr>
        <w:t>66, §3 van het KB nr.20 van 13 mei 2020 bepaalt dat d</w:t>
      </w:r>
      <w:r>
        <w:rPr>
          <w:lang w:val="nl-BE"/>
        </w:rPr>
        <w:t xml:space="preserve">e aanvragen </w:t>
      </w:r>
      <w:r w:rsidR="00450FB1">
        <w:rPr>
          <w:lang w:val="nl-BE"/>
        </w:rPr>
        <w:t xml:space="preserve">elektronisch </w:t>
      </w:r>
      <w:r>
        <w:rPr>
          <w:lang w:val="nl-BE"/>
        </w:rPr>
        <w:t>moeten worden bewaard. Hiermee wordt getracht de elektronische aanvragen te stimuleren, en dit bevordert administratieve en wetenschappelijke analyses.</w:t>
      </w:r>
    </w:p>
    <w:p w:rsidR="004A7BCD" w:rsidRPr="0023631F" w:rsidRDefault="004A7BCD" w:rsidP="004A7BCD">
      <w:pPr>
        <w:rPr>
          <w:lang w:val="nl-BE"/>
        </w:rPr>
      </w:pPr>
      <w:r w:rsidRPr="0023631F">
        <w:rPr>
          <w:lang w:val="nl-BE"/>
        </w:rPr>
        <w:t>Als een papieren aanvraag ingescand is, hoeft de papieren aanvraag niet meer bewaard te worden.</w:t>
      </w:r>
    </w:p>
    <w:p w:rsidR="00BA06CB" w:rsidRPr="00615D77" w:rsidRDefault="00BA06CB" w:rsidP="00615D77">
      <w:pPr>
        <w:pStyle w:val="ListParagraph"/>
        <w:numPr>
          <w:ilvl w:val="0"/>
          <w:numId w:val="2"/>
        </w:numPr>
        <w:tabs>
          <w:tab w:val="left" w:pos="426"/>
        </w:tabs>
        <w:spacing w:after="120"/>
        <w:ind w:left="426" w:hanging="426"/>
        <w:jc w:val="both"/>
        <w:rPr>
          <w:b/>
          <w:lang w:val="fr-BE"/>
        </w:rPr>
      </w:pPr>
      <w:r w:rsidRPr="00615D77">
        <w:rPr>
          <w:b/>
          <w:lang w:val="fr-BE"/>
        </w:rPr>
        <w:t>Kan een erkend klinisch laboratorium PCR testen bij asymptomatische bewoners en/of personeel aanrekenen aan het RIZIV, bijvoorbeeld bij clusters?</w:t>
      </w:r>
    </w:p>
    <w:p w:rsidR="00BA73A3" w:rsidRDefault="00D72FB2" w:rsidP="00450FB1">
      <w:pPr>
        <w:jc w:val="both"/>
        <w:rPr>
          <w:lang w:val="nl-BE"/>
        </w:rPr>
      </w:pPr>
      <w:r>
        <w:rPr>
          <w:lang w:val="nl-BE"/>
        </w:rPr>
        <w:t xml:space="preserve">Neen. </w:t>
      </w:r>
      <w:r w:rsidR="00450FB1">
        <w:rPr>
          <w:lang w:val="nl-BE"/>
        </w:rPr>
        <w:t>De screening van asymptomatisch</w:t>
      </w:r>
      <w:r w:rsidR="00BA73A3">
        <w:rPr>
          <w:lang w:val="nl-BE"/>
        </w:rPr>
        <w:t>e bewoners of</w:t>
      </w:r>
      <w:r w:rsidR="00450FB1">
        <w:rPr>
          <w:lang w:val="nl-BE"/>
        </w:rPr>
        <w:t xml:space="preserve"> personeel valt momenteel niet onder de testrichtlijnen gepubliceerd op de website van Sciensano. </w:t>
      </w:r>
    </w:p>
    <w:p w:rsidR="00BA73A3" w:rsidRDefault="00BA73A3" w:rsidP="00450FB1">
      <w:pPr>
        <w:jc w:val="both"/>
        <w:rPr>
          <w:lang w:val="nl-BE"/>
        </w:rPr>
      </w:pPr>
      <w:r>
        <w:rPr>
          <w:lang w:val="nl-BE"/>
        </w:rPr>
        <w:t>De testrichtlijnen vermelden dat v</w:t>
      </w:r>
      <w:r w:rsidRPr="00BA73A3">
        <w:rPr>
          <w:lang w:val="nl-BE"/>
        </w:rPr>
        <w:t xml:space="preserve">anaf twee gevallen in dezelfde instelling de regionale gezondheidsautoriteiten verder </w:t>
      </w:r>
      <w:r>
        <w:rPr>
          <w:lang w:val="nl-BE"/>
        </w:rPr>
        <w:t xml:space="preserve">zullen </w:t>
      </w:r>
      <w:r w:rsidRPr="00BA73A3">
        <w:rPr>
          <w:lang w:val="nl-BE"/>
        </w:rPr>
        <w:t xml:space="preserve">beslissen over de meest geschikte verdere testing-strategie, aangepast aan de lokale omstandigheden. </w:t>
      </w:r>
    </w:p>
    <w:p w:rsidR="00450FB1" w:rsidRDefault="00BA73A3" w:rsidP="00195056">
      <w:pPr>
        <w:spacing w:after="240"/>
        <w:jc w:val="both"/>
        <w:rPr>
          <w:lang w:val="nl-BE"/>
        </w:rPr>
      </w:pPr>
      <w:r>
        <w:rPr>
          <w:lang w:val="nl-BE"/>
        </w:rPr>
        <w:t>Verder bepaalt a</w:t>
      </w:r>
      <w:r w:rsidR="00450FB1">
        <w:rPr>
          <w:lang w:val="nl-BE"/>
        </w:rPr>
        <w:t>rtikel 66, §3</w:t>
      </w:r>
      <w:r>
        <w:rPr>
          <w:lang w:val="nl-BE"/>
        </w:rPr>
        <w:t xml:space="preserve"> van het KB nr. 20 van 13 mei 2020</w:t>
      </w:r>
      <w:r w:rsidR="00450FB1">
        <w:rPr>
          <w:lang w:val="nl-BE"/>
        </w:rPr>
        <w:t xml:space="preserve"> dat de </w:t>
      </w:r>
      <w:r w:rsidR="00450FB1" w:rsidRPr="00450FB1">
        <w:rPr>
          <w:lang w:val="nl-BE"/>
        </w:rPr>
        <w:t xml:space="preserve">verstrekkingen 554934-554945 en 554956-554960 niet </w:t>
      </w:r>
      <w:r w:rsidR="00450FB1">
        <w:rPr>
          <w:lang w:val="nl-BE"/>
        </w:rPr>
        <w:t xml:space="preserve">kunnen </w:t>
      </w:r>
      <w:r w:rsidR="00450FB1" w:rsidRPr="00450FB1">
        <w:rPr>
          <w:lang w:val="nl-BE"/>
        </w:rPr>
        <w:t>worden aangerekend voor de collectieve screening van asymptomatische bewoners van een residentiële collectiviteit georganiseerd door en met medewerking van de federale overheid en gefedereerde entiteiten.</w:t>
      </w:r>
    </w:p>
    <w:p w:rsidR="00D72FB2" w:rsidRPr="00984527" w:rsidRDefault="00D72FB2" w:rsidP="00D72FB2">
      <w:pPr>
        <w:rPr>
          <w:lang w:val="nl-BE" w:eastAsia="nl-BE"/>
        </w:rPr>
      </w:pPr>
      <w:r w:rsidRPr="00984527">
        <w:rPr>
          <w:lang w:val="nl-BE" w:eastAsia="nl-BE"/>
        </w:rPr>
        <w:t>Bij de gevallen die die voldoen aan</w:t>
      </w:r>
      <w:r w:rsidR="004A7BCD">
        <w:rPr>
          <w:lang w:val="nl-BE" w:eastAsia="nl-BE"/>
        </w:rPr>
        <w:t xml:space="preserve"> de </w:t>
      </w:r>
      <w:hyperlink r:id="rId9" w:history="1">
        <w:r w:rsidR="004A7BCD" w:rsidRPr="004A7BCD">
          <w:rPr>
            <w:rStyle w:val="Hyperlink"/>
            <w:lang w:val="nl-BE" w:eastAsia="nl-BE"/>
          </w:rPr>
          <w:t>gepubliceerde testrichtlijnen</w:t>
        </w:r>
      </w:hyperlink>
      <w:r w:rsidRPr="00984527">
        <w:rPr>
          <w:lang w:val="nl-BE" w:eastAsia="nl-BE"/>
        </w:rPr>
        <w:t xml:space="preserve"> kunnen deze wel aangerekend worden. </w:t>
      </w:r>
    </w:p>
    <w:p w:rsidR="00D72FB2" w:rsidRPr="00984527" w:rsidRDefault="00D72FB2" w:rsidP="00D72FB2">
      <w:pPr>
        <w:rPr>
          <w:lang w:val="nl-BE" w:eastAsia="nl-BE"/>
        </w:rPr>
      </w:pPr>
      <w:r w:rsidRPr="00984527">
        <w:rPr>
          <w:lang w:val="nl-BE" w:eastAsia="nl-BE"/>
        </w:rPr>
        <w:lastRenderedPageBreak/>
        <w:t xml:space="preserve">Volgens de </w:t>
      </w:r>
      <w:r w:rsidRPr="004A7BCD">
        <w:rPr>
          <w:lang w:val="nl-BE" w:eastAsia="nl-BE"/>
        </w:rPr>
        <w:t>huidige testindicaties</w:t>
      </w:r>
      <w:r w:rsidRPr="00984527">
        <w:rPr>
          <w:lang w:val="nl-BE" w:eastAsia="nl-BE"/>
        </w:rPr>
        <w:t xml:space="preserve"> </w:t>
      </w:r>
      <w:r w:rsidR="004A7BCD">
        <w:rPr>
          <w:lang w:val="nl-BE" w:eastAsia="nl-BE"/>
        </w:rPr>
        <w:t xml:space="preserve">(10-06-2020) </w:t>
      </w:r>
      <w:r w:rsidRPr="00984527">
        <w:rPr>
          <w:lang w:val="nl-BE" w:eastAsia="nl-BE"/>
        </w:rPr>
        <w:t>is terugbetaling via het RIZIV mogelijk voor volgende gevallen in collectiviteiten:</w:t>
      </w:r>
    </w:p>
    <w:p w:rsidR="00D72FB2" w:rsidRPr="00984527" w:rsidRDefault="00D72FB2" w:rsidP="00D72FB2">
      <w:pPr>
        <w:numPr>
          <w:ilvl w:val="0"/>
          <w:numId w:val="6"/>
        </w:numPr>
        <w:spacing w:after="0" w:line="240" w:lineRule="auto"/>
        <w:ind w:left="540"/>
        <w:textAlignment w:val="center"/>
        <w:rPr>
          <w:lang w:val="nl-BE" w:eastAsia="nl-BE"/>
        </w:rPr>
      </w:pPr>
      <w:r w:rsidRPr="00984527">
        <w:rPr>
          <w:lang w:val="nl-BE" w:eastAsia="nl-BE"/>
        </w:rPr>
        <w:t>bij alle persoon die voldoen aan de definitie van</w:t>
      </w:r>
      <w:r w:rsidRPr="00984527">
        <w:rPr>
          <w:b/>
          <w:bCs/>
          <w:lang w:val="nl-BE" w:eastAsia="nl-BE"/>
        </w:rPr>
        <w:t xml:space="preserve"> een mogelijke geval</w:t>
      </w:r>
      <w:r w:rsidRPr="00984527">
        <w:rPr>
          <w:lang w:val="nl-BE" w:eastAsia="nl-BE"/>
        </w:rPr>
        <w:t>, die onder punt 1 in het document</w:t>
      </w:r>
      <w:r>
        <w:rPr>
          <w:lang w:val="nl-BE" w:eastAsia="nl-BE"/>
        </w:rPr>
        <w:t xml:space="preserve"> van de testrichtlijnen </w:t>
      </w:r>
      <w:r w:rsidRPr="00984527">
        <w:rPr>
          <w:lang w:val="nl-BE" w:eastAsia="nl-BE"/>
        </w:rPr>
        <w:t>gedefinieerd worden als symptomatisch.</w:t>
      </w:r>
    </w:p>
    <w:p w:rsidR="00984527" w:rsidRDefault="00D72FB2" w:rsidP="00B05E45">
      <w:pPr>
        <w:numPr>
          <w:ilvl w:val="0"/>
          <w:numId w:val="7"/>
        </w:numPr>
        <w:spacing w:after="240" w:line="240" w:lineRule="auto"/>
        <w:ind w:left="538" w:hanging="357"/>
        <w:textAlignment w:val="center"/>
        <w:rPr>
          <w:lang w:val="nl-BE" w:eastAsia="nl-BE"/>
        </w:rPr>
      </w:pPr>
      <w:r w:rsidRPr="00984527">
        <w:rPr>
          <w:lang w:val="nl-BE" w:eastAsia="nl-BE"/>
        </w:rPr>
        <w:t xml:space="preserve">Bij alle hoog-risico contacten van een geval van COVID-19 die zelf beroepshalve in contact staan met mensen die het risico lopen een ernstige vorm van de ziekte te ontwikkelen (volgens de regels uiteengezet in de contactprocedure, namelijk een test op dag 12 van de isolatieperiode). </w:t>
      </w:r>
      <w:r w:rsidR="00984527" w:rsidRPr="00D72FB2">
        <w:rPr>
          <w:lang w:val="nl-BE" w:eastAsia="nl-BE"/>
        </w:rPr>
        <w:t xml:space="preserve"> </w:t>
      </w:r>
    </w:p>
    <w:p w:rsidR="004A7BCD" w:rsidRPr="004A7BCD" w:rsidRDefault="004A7BCD" w:rsidP="004A7BCD">
      <w:pPr>
        <w:rPr>
          <w:lang w:val="nl-BE"/>
        </w:rPr>
      </w:pPr>
      <w:r w:rsidRPr="004A7BCD">
        <w:rPr>
          <w:lang w:val="nl-BE"/>
        </w:rPr>
        <w:t>De testrichtlijnen kunnen</w:t>
      </w:r>
      <w:r>
        <w:rPr>
          <w:lang w:val="nl-BE"/>
        </w:rPr>
        <w:t xml:space="preserve"> evolueren</w:t>
      </w:r>
      <w:r w:rsidRPr="004A7BCD">
        <w:rPr>
          <w:lang w:val="nl-BE"/>
        </w:rPr>
        <w:t>. Het zijn steeds de actuele richtlijnen gepubliceerd op de website van Sciensano die van toepassing zijn voor dit punt</w:t>
      </w:r>
      <w:r>
        <w:rPr>
          <w:lang w:val="nl-BE"/>
        </w:rPr>
        <w:t>.</w:t>
      </w:r>
    </w:p>
    <w:p w:rsidR="00BA73A3" w:rsidRPr="00615D77" w:rsidRDefault="00743FC8" w:rsidP="00615D77">
      <w:pPr>
        <w:pStyle w:val="ListParagraph"/>
        <w:numPr>
          <w:ilvl w:val="0"/>
          <w:numId w:val="2"/>
        </w:numPr>
        <w:tabs>
          <w:tab w:val="left" w:pos="426"/>
        </w:tabs>
        <w:spacing w:after="120"/>
        <w:ind w:left="426" w:hanging="426"/>
        <w:jc w:val="both"/>
        <w:rPr>
          <w:b/>
          <w:lang w:val="fr-BE"/>
        </w:rPr>
      </w:pPr>
      <w:r w:rsidRPr="00615D77">
        <w:rPr>
          <w:b/>
          <w:lang w:val="fr-BE"/>
        </w:rPr>
        <w:t>Kan er retrograad gefactureerd worden</w:t>
      </w:r>
      <w:r w:rsidR="008B0A57" w:rsidRPr="00615D77">
        <w:rPr>
          <w:b/>
          <w:lang w:val="fr-BE"/>
        </w:rPr>
        <w:t xml:space="preserve"> aan het RIZIV</w:t>
      </w:r>
      <w:r w:rsidRPr="00615D77">
        <w:rPr>
          <w:b/>
          <w:lang w:val="fr-BE"/>
        </w:rPr>
        <w:t xml:space="preserve"> voor de serologische testen</w:t>
      </w:r>
      <w:r w:rsidR="00195056" w:rsidRPr="00615D77">
        <w:rPr>
          <w:b/>
          <w:lang w:val="fr-BE"/>
        </w:rPr>
        <w:t xml:space="preserve"> </w:t>
      </w:r>
      <w:r w:rsidR="008B0A57" w:rsidRPr="00615D77">
        <w:rPr>
          <w:b/>
          <w:lang w:val="fr-BE"/>
        </w:rPr>
        <w:t>uitgevoerd in</w:t>
      </w:r>
      <w:r w:rsidR="00195056" w:rsidRPr="00615D77">
        <w:rPr>
          <w:b/>
          <w:lang w:val="fr-BE"/>
        </w:rPr>
        <w:t xml:space="preserve"> de periode voor </w:t>
      </w:r>
      <w:r w:rsidR="008B0A57" w:rsidRPr="00615D77">
        <w:rPr>
          <w:b/>
          <w:lang w:val="fr-BE"/>
        </w:rPr>
        <w:t>3 juni 2020, wanneer h</w:t>
      </w:r>
      <w:r w:rsidR="00195056" w:rsidRPr="00615D77">
        <w:rPr>
          <w:b/>
          <w:lang w:val="fr-BE"/>
        </w:rPr>
        <w:t>et KB dat de vergoedingsvoorwaarden en doelgroepen bepaalt</w:t>
      </w:r>
      <w:r w:rsidR="008B0A57" w:rsidRPr="00615D77">
        <w:rPr>
          <w:b/>
          <w:lang w:val="fr-BE"/>
        </w:rPr>
        <w:t xml:space="preserve"> gepubliceerd werd</w:t>
      </w:r>
      <w:r w:rsidRPr="00615D77">
        <w:rPr>
          <w:b/>
          <w:lang w:val="fr-BE"/>
        </w:rPr>
        <w:t>?</w:t>
      </w:r>
    </w:p>
    <w:p w:rsidR="00B301AB" w:rsidRPr="00B05E45" w:rsidRDefault="00BA73A3" w:rsidP="00B05E45">
      <w:pPr>
        <w:spacing w:after="240"/>
        <w:jc w:val="both"/>
        <w:rPr>
          <w:lang w:val="nl-BE"/>
        </w:rPr>
      </w:pPr>
      <w:r w:rsidRPr="00BA73A3">
        <w:rPr>
          <w:lang w:val="nl-BE"/>
        </w:rPr>
        <w:t xml:space="preserve">Neen. De serologische testen kunnen pas worden aangerekend voor voorschriften vanaf de dag dat het KB dat de vergoedingsvoorwaarden voor de serologische testen bevat is verschenen in het Belgisch Staatsblad. </w:t>
      </w:r>
      <w:r w:rsidR="00D72FB2">
        <w:rPr>
          <w:lang w:val="nl-BE"/>
        </w:rPr>
        <w:t>Voor die periode kan er wel 9,60 euro aangerekend worden aan de patiënt indien de test werd uitgevoerd in een klinisch laboratorium</w:t>
      </w:r>
      <w:r w:rsidR="004A7BCD" w:rsidRPr="004A7BCD">
        <w:rPr>
          <w:i/>
          <w:iCs/>
          <w:color w:val="7030A0"/>
          <w:lang w:val="nl-BE"/>
        </w:rPr>
        <w:t xml:space="preserve"> </w:t>
      </w:r>
      <w:r w:rsidR="004A7BCD" w:rsidRPr="004A7BCD">
        <w:rPr>
          <w:lang w:val="nl-BE"/>
        </w:rPr>
        <w:t xml:space="preserve">met een opsporingstesten die </w:t>
      </w:r>
      <w:r w:rsidR="004A7BCD">
        <w:rPr>
          <w:lang w:val="nl-BE"/>
        </w:rPr>
        <w:t xml:space="preserve">aanbevolen worden volgens </w:t>
      </w:r>
      <w:r w:rsidR="004A7BCD" w:rsidRPr="004A7BCD">
        <w:rPr>
          <w:lang w:val="nl-BE"/>
        </w:rPr>
        <w:t xml:space="preserve">de </w:t>
      </w:r>
      <w:hyperlink r:id="rId10" w:history="1">
        <w:r w:rsidR="004A7BCD" w:rsidRPr="004A7BCD">
          <w:rPr>
            <w:rStyle w:val="Hyperlink"/>
            <w:lang w:val="nl-BE"/>
          </w:rPr>
          <w:t>lijst</w:t>
        </w:r>
      </w:hyperlink>
      <w:r w:rsidR="004A7BCD" w:rsidRPr="004A7BCD">
        <w:rPr>
          <w:lang w:val="nl-BE"/>
        </w:rPr>
        <w:t xml:space="preserve"> </w:t>
      </w:r>
      <w:r w:rsidR="004A7BCD">
        <w:rPr>
          <w:lang w:val="nl-BE"/>
        </w:rPr>
        <w:t>gepubliceerd op de website van Sciensano.</w:t>
      </w:r>
    </w:p>
    <w:p w:rsidR="00A676E4" w:rsidRPr="00615D77" w:rsidRDefault="00A676E4" w:rsidP="00615D77">
      <w:pPr>
        <w:pStyle w:val="ListParagraph"/>
        <w:numPr>
          <w:ilvl w:val="0"/>
          <w:numId w:val="2"/>
        </w:numPr>
        <w:tabs>
          <w:tab w:val="left" w:pos="426"/>
        </w:tabs>
        <w:spacing w:after="120"/>
        <w:ind w:left="426" w:hanging="426"/>
        <w:jc w:val="both"/>
        <w:rPr>
          <w:b/>
          <w:lang w:val="fr-BE"/>
        </w:rPr>
      </w:pPr>
      <w:r w:rsidRPr="00615D77">
        <w:rPr>
          <w:b/>
          <w:lang w:val="fr-BE"/>
        </w:rPr>
        <w:t>Mogen serologische testen die werden uitgevoerd met testmateriaal die op het moment van de test (nog) niet op de aanbevolen lijst, gepubliceerd op de website van Sciensano, stonden maar die later wel worden toegevoegd aan deze lijst, gefactureerd worden?</w:t>
      </w:r>
    </w:p>
    <w:p w:rsidR="00A676E4" w:rsidRPr="00A676E4" w:rsidRDefault="00A676E4" w:rsidP="00615D77">
      <w:pPr>
        <w:spacing w:after="240"/>
        <w:jc w:val="both"/>
        <w:rPr>
          <w:lang w:val="nl-BE"/>
        </w:rPr>
      </w:pPr>
      <w:r w:rsidRPr="00A676E4">
        <w:rPr>
          <w:lang w:val="nl-BE"/>
        </w:rPr>
        <w:t>Ja.</w:t>
      </w:r>
      <w:r>
        <w:rPr>
          <w:lang w:val="nl-BE"/>
        </w:rPr>
        <w:t xml:space="preserve"> Z</w:t>
      </w:r>
      <w:r w:rsidRPr="00A676E4">
        <w:rPr>
          <w:lang w:val="nl-BE"/>
        </w:rPr>
        <w:t>odra een nog niet door het FAGG goedgekeurde serologische test toch aa</w:t>
      </w:r>
      <w:r>
        <w:rPr>
          <w:lang w:val="nl-BE"/>
        </w:rPr>
        <w:t>nvaard wordt door het FAGG en in</w:t>
      </w:r>
      <w:r w:rsidRPr="00A676E4">
        <w:rPr>
          <w:lang w:val="nl-BE"/>
        </w:rPr>
        <w:t xml:space="preserve"> de lijst wordt opgenomen, kan die retroactief gebruikt worden voor aanrekenbare testen. Dezelfde voorwaarden (aanrekenen aan RIZIV of patiënt zoals vermeld in punt 4,5 &amp; 9)  gelden als voor de serologische testen die al wel goedgekeurd zijn op ogenblik van bepaling.</w:t>
      </w:r>
    </w:p>
    <w:p w:rsidR="00B05E45" w:rsidRPr="00A676E4" w:rsidRDefault="00B05E45" w:rsidP="00615D77">
      <w:pPr>
        <w:pStyle w:val="ListParagraph"/>
        <w:numPr>
          <w:ilvl w:val="0"/>
          <w:numId w:val="2"/>
        </w:numPr>
        <w:tabs>
          <w:tab w:val="left" w:pos="426"/>
        </w:tabs>
        <w:spacing w:after="120"/>
        <w:ind w:left="426" w:hanging="426"/>
        <w:jc w:val="both"/>
        <w:rPr>
          <w:b/>
          <w:lang w:val="nl-BE"/>
        </w:rPr>
      </w:pPr>
      <w:r w:rsidRPr="00615D77">
        <w:rPr>
          <w:b/>
          <w:lang w:val="fr-BE"/>
        </w:rPr>
        <w:t>Wat</w:t>
      </w:r>
      <w:r w:rsidRPr="00A676E4">
        <w:rPr>
          <w:b/>
          <w:lang w:val="nl-BE"/>
        </w:rPr>
        <w:t xml:space="preserve"> bedoelt men met ‘ontvangend laboratorium’ in artikel 5 van het </w:t>
      </w:r>
      <w:hyperlink r:id="rId11" w:history="1">
        <w:r w:rsidRPr="00A676E4">
          <w:rPr>
            <w:rStyle w:val="Hyperlink"/>
            <w:b/>
            <w:lang w:val="nl-BE"/>
          </w:rPr>
          <w:t>KB van 29 mei 2020</w:t>
        </w:r>
      </w:hyperlink>
      <w:r w:rsidRPr="00A676E4">
        <w:rPr>
          <w:b/>
          <w:lang w:val="nl-BE"/>
        </w:rPr>
        <w:t>?</w:t>
      </w:r>
    </w:p>
    <w:p w:rsidR="00B05E45" w:rsidRPr="005F5054" w:rsidRDefault="00B05E45" w:rsidP="005F5054">
      <w:pPr>
        <w:spacing w:after="120"/>
        <w:jc w:val="both"/>
        <w:rPr>
          <w:lang w:val="nl-BE"/>
        </w:rPr>
      </w:pPr>
      <w:r>
        <w:rPr>
          <w:lang w:val="nl-BE"/>
        </w:rPr>
        <w:t>Met ontvangend labo wordt het labo bedoeld dat</w:t>
      </w:r>
      <w:r w:rsidR="005F5054">
        <w:rPr>
          <w:lang w:val="nl-BE"/>
        </w:rPr>
        <w:t xml:space="preserve"> als eerste de stalen ontvangt.</w:t>
      </w:r>
      <w:bookmarkStart w:id="0" w:name="_GoBack"/>
      <w:bookmarkEnd w:id="0"/>
    </w:p>
    <w:sectPr w:rsidR="00B05E45" w:rsidRPr="005F505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A7" w:rsidRDefault="00457CA7" w:rsidP="00457CA7">
      <w:pPr>
        <w:spacing w:after="0" w:line="240" w:lineRule="auto"/>
      </w:pPr>
      <w:r>
        <w:separator/>
      </w:r>
    </w:p>
  </w:endnote>
  <w:endnote w:type="continuationSeparator" w:id="0">
    <w:p w:rsidR="00457CA7" w:rsidRDefault="00457CA7" w:rsidP="0045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A7" w:rsidRDefault="00457CA7" w:rsidP="00457CA7">
      <w:pPr>
        <w:spacing w:after="0" w:line="240" w:lineRule="auto"/>
      </w:pPr>
      <w:r>
        <w:separator/>
      </w:r>
    </w:p>
  </w:footnote>
  <w:footnote w:type="continuationSeparator" w:id="0">
    <w:p w:rsidR="00457CA7" w:rsidRDefault="00457CA7" w:rsidP="00457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B14E6"/>
    <w:multiLevelType w:val="hybridMultilevel"/>
    <w:tmpl w:val="21AC3298"/>
    <w:lvl w:ilvl="0" w:tplc="61CAE3C2">
      <w:start w:val="4"/>
      <w:numFmt w:val="bullet"/>
      <w:lvlText w:val="-"/>
      <w:lvlJc w:val="left"/>
      <w:pPr>
        <w:ind w:left="720" w:hanging="360"/>
      </w:pPr>
      <w:rPr>
        <w:rFonts w:ascii="Calibri" w:eastAsia="Times New Roman" w:hAnsi="Calibri" w:cs="Times New Roman" w:hint="default"/>
      </w:rPr>
    </w:lvl>
    <w:lvl w:ilvl="1" w:tplc="08130003">
      <w:start w:val="1"/>
      <w:numFmt w:val="bullet"/>
      <w:lvlText w:val="o"/>
      <w:lvlJc w:val="left"/>
      <w:pPr>
        <w:ind w:left="1440" w:hanging="360"/>
      </w:pPr>
      <w:rPr>
        <w:rFonts w:ascii="Courier New" w:hAnsi="Courier New" w:cs="Times New Roman"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Times New Roman"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Times New Roman"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194D4965"/>
    <w:multiLevelType w:val="hybridMultilevel"/>
    <w:tmpl w:val="EECA3CE0"/>
    <w:lvl w:ilvl="0" w:tplc="B3BE2BB0">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3397AC9"/>
    <w:multiLevelType w:val="multilevel"/>
    <w:tmpl w:val="7514FD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B8479E"/>
    <w:multiLevelType w:val="multilevel"/>
    <w:tmpl w:val="6C2C5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5B427A"/>
    <w:multiLevelType w:val="multilevel"/>
    <w:tmpl w:val="033C7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4D7113"/>
    <w:multiLevelType w:val="hybridMultilevel"/>
    <w:tmpl w:val="EE667E24"/>
    <w:lvl w:ilvl="0" w:tplc="011617C2">
      <w:start w:val="4"/>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6B3D462B"/>
    <w:multiLevelType w:val="hybridMultilevel"/>
    <w:tmpl w:val="EF761E66"/>
    <w:lvl w:ilvl="0" w:tplc="C2B8ABD0">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19"/>
    <w:rsid w:val="0002749C"/>
    <w:rsid w:val="000A4886"/>
    <w:rsid w:val="000F1F69"/>
    <w:rsid w:val="001509B8"/>
    <w:rsid w:val="00182186"/>
    <w:rsid w:val="00195056"/>
    <w:rsid w:val="0023631F"/>
    <w:rsid w:val="00450FB1"/>
    <w:rsid w:val="00457CA7"/>
    <w:rsid w:val="00481888"/>
    <w:rsid w:val="004A7BCD"/>
    <w:rsid w:val="004F5714"/>
    <w:rsid w:val="005F2E19"/>
    <w:rsid w:val="005F5054"/>
    <w:rsid w:val="00615D77"/>
    <w:rsid w:val="00743FC8"/>
    <w:rsid w:val="00844F13"/>
    <w:rsid w:val="008A61D7"/>
    <w:rsid w:val="008B0A57"/>
    <w:rsid w:val="00974572"/>
    <w:rsid w:val="00984527"/>
    <w:rsid w:val="009F3656"/>
    <w:rsid w:val="00A676E4"/>
    <w:rsid w:val="00B05E45"/>
    <w:rsid w:val="00B301AB"/>
    <w:rsid w:val="00BA06CB"/>
    <w:rsid w:val="00BA73A3"/>
    <w:rsid w:val="00C54346"/>
    <w:rsid w:val="00D72FB2"/>
    <w:rsid w:val="00E07659"/>
    <w:rsid w:val="00E13EDF"/>
    <w:rsid w:val="00EB0AEC"/>
    <w:rsid w:val="00ED6A15"/>
    <w:rsid w:val="00FF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B209"/>
  <w15:chartTrackingRefBased/>
  <w15:docId w15:val="{8DDEACD7-E6DB-477C-922B-A51BC8F4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4F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5E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888"/>
    <w:pPr>
      <w:spacing w:after="0" w:line="240" w:lineRule="auto"/>
      <w:ind w:left="720"/>
    </w:pPr>
    <w:rPr>
      <w:rFonts w:ascii="Calibri" w:eastAsia="Times New Roman" w:hAnsi="Calibri" w:cs="Times New Roman"/>
    </w:rPr>
  </w:style>
  <w:style w:type="character" w:customStyle="1" w:styleId="Heading1Char">
    <w:name w:val="Heading 1 Char"/>
    <w:basedOn w:val="DefaultParagraphFont"/>
    <w:link w:val="Heading1"/>
    <w:uiPriority w:val="9"/>
    <w:rsid w:val="00844F13"/>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457C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7CA7"/>
    <w:rPr>
      <w:sz w:val="20"/>
      <w:szCs w:val="20"/>
    </w:rPr>
  </w:style>
  <w:style w:type="character" w:styleId="FootnoteReference">
    <w:name w:val="footnote reference"/>
    <w:basedOn w:val="DefaultParagraphFont"/>
    <w:uiPriority w:val="99"/>
    <w:semiHidden/>
    <w:unhideWhenUsed/>
    <w:rsid w:val="00457CA7"/>
    <w:rPr>
      <w:vertAlign w:val="superscript"/>
    </w:rPr>
  </w:style>
  <w:style w:type="character" w:styleId="Hyperlink">
    <w:name w:val="Hyperlink"/>
    <w:basedOn w:val="DefaultParagraphFont"/>
    <w:uiPriority w:val="99"/>
    <w:unhideWhenUsed/>
    <w:rsid w:val="00457CA7"/>
    <w:rPr>
      <w:color w:val="0000FF"/>
      <w:u w:val="single"/>
    </w:rPr>
  </w:style>
  <w:style w:type="character" w:styleId="FollowedHyperlink">
    <w:name w:val="FollowedHyperlink"/>
    <w:basedOn w:val="DefaultParagraphFont"/>
    <w:uiPriority w:val="99"/>
    <w:semiHidden/>
    <w:unhideWhenUsed/>
    <w:rsid w:val="00984527"/>
    <w:rPr>
      <w:color w:val="800080" w:themeColor="followedHyperlink"/>
      <w:u w:val="single"/>
    </w:rPr>
  </w:style>
  <w:style w:type="character" w:customStyle="1" w:styleId="Heading2Char">
    <w:name w:val="Heading 2 Char"/>
    <w:basedOn w:val="DefaultParagraphFont"/>
    <w:link w:val="Heading2"/>
    <w:uiPriority w:val="9"/>
    <w:rsid w:val="00B05E4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1468">
      <w:bodyDiv w:val="1"/>
      <w:marLeft w:val="0"/>
      <w:marRight w:val="0"/>
      <w:marTop w:val="0"/>
      <w:marBottom w:val="0"/>
      <w:divBdr>
        <w:top w:val="none" w:sz="0" w:space="0" w:color="auto"/>
        <w:left w:val="none" w:sz="0" w:space="0" w:color="auto"/>
        <w:bottom w:val="none" w:sz="0" w:space="0" w:color="auto"/>
        <w:right w:val="none" w:sz="0" w:space="0" w:color="auto"/>
      </w:divBdr>
    </w:div>
    <w:div w:id="273831095">
      <w:bodyDiv w:val="1"/>
      <w:marLeft w:val="0"/>
      <w:marRight w:val="0"/>
      <w:marTop w:val="0"/>
      <w:marBottom w:val="0"/>
      <w:divBdr>
        <w:top w:val="none" w:sz="0" w:space="0" w:color="auto"/>
        <w:left w:val="none" w:sz="0" w:space="0" w:color="auto"/>
        <w:bottom w:val="none" w:sz="0" w:space="0" w:color="auto"/>
        <w:right w:val="none" w:sz="0" w:space="0" w:color="auto"/>
      </w:divBdr>
    </w:div>
    <w:div w:id="530798703">
      <w:bodyDiv w:val="1"/>
      <w:marLeft w:val="0"/>
      <w:marRight w:val="0"/>
      <w:marTop w:val="0"/>
      <w:marBottom w:val="0"/>
      <w:divBdr>
        <w:top w:val="none" w:sz="0" w:space="0" w:color="auto"/>
        <w:left w:val="none" w:sz="0" w:space="0" w:color="auto"/>
        <w:bottom w:val="none" w:sz="0" w:space="0" w:color="auto"/>
        <w:right w:val="none" w:sz="0" w:space="0" w:color="auto"/>
      </w:divBdr>
    </w:div>
    <w:div w:id="860624744">
      <w:bodyDiv w:val="1"/>
      <w:marLeft w:val="0"/>
      <w:marRight w:val="0"/>
      <w:marTop w:val="0"/>
      <w:marBottom w:val="0"/>
      <w:divBdr>
        <w:top w:val="none" w:sz="0" w:space="0" w:color="auto"/>
        <w:left w:val="none" w:sz="0" w:space="0" w:color="auto"/>
        <w:bottom w:val="none" w:sz="0" w:space="0" w:color="auto"/>
        <w:right w:val="none" w:sz="0" w:space="0" w:color="auto"/>
      </w:divBdr>
    </w:div>
    <w:div w:id="1343708004">
      <w:bodyDiv w:val="1"/>
      <w:marLeft w:val="0"/>
      <w:marRight w:val="0"/>
      <w:marTop w:val="0"/>
      <w:marBottom w:val="0"/>
      <w:divBdr>
        <w:top w:val="none" w:sz="0" w:space="0" w:color="auto"/>
        <w:left w:val="none" w:sz="0" w:space="0" w:color="auto"/>
        <w:bottom w:val="none" w:sz="0" w:space="0" w:color="auto"/>
        <w:right w:val="none" w:sz="0" w:space="0" w:color="auto"/>
      </w:divBdr>
    </w:div>
    <w:div w:id="1711417926">
      <w:bodyDiv w:val="1"/>
      <w:marLeft w:val="0"/>
      <w:marRight w:val="0"/>
      <w:marTop w:val="0"/>
      <w:marBottom w:val="0"/>
      <w:divBdr>
        <w:top w:val="none" w:sz="0" w:space="0" w:color="auto"/>
        <w:left w:val="none" w:sz="0" w:space="0" w:color="auto"/>
        <w:bottom w:val="none" w:sz="0" w:space="0" w:color="auto"/>
        <w:right w:val="none" w:sz="0" w:space="0" w:color="auto"/>
      </w:divBdr>
    </w:div>
    <w:div w:id="172598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19.sciensano.be/sites/default/files/Covid19/Nota%20over%20het%20gebruik%20van%20serologische%20test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ziv.fgov.be/SiteCollectionDocuments/ARKB_MBBS_Serologische_testen.pdf"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fagg.be/sites/default/files/content/publication_ivd.xlsx" TargetMode="External"/><Relationship Id="rId4" Type="http://schemas.openxmlformats.org/officeDocument/2006/relationships/settings" Target="settings.xml"/><Relationship Id="rId9" Type="http://schemas.openxmlformats.org/officeDocument/2006/relationships/hyperlink" Target="https://covid-19.sciensano.be/sites/default/files/Covid19/COVID-19_Case%20definition_Testing_NL.pdf?utm_source=Measuremail&amp;utm_medium=email&amp;utm_campaign=COVID19_E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2020-06-15T22:00:00+00:00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12</Value>
    </TaxCatchAll>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3C429235-DB16-477F-A155-5046D8CE4AD3}"/>
</file>

<file path=customXml/itemProps2.xml><?xml version="1.0" encoding="utf-8"?>
<ds:datastoreItem xmlns:ds="http://schemas.openxmlformats.org/officeDocument/2006/customXml" ds:itemID="{D012F8DB-5CDD-41CE-B7E3-21B6AA6178F1}"/>
</file>

<file path=customXml/itemProps3.xml><?xml version="1.0" encoding="utf-8"?>
<ds:datastoreItem xmlns:ds="http://schemas.openxmlformats.org/officeDocument/2006/customXml" ds:itemID="{991323E4-BCD7-4138-A5AD-688E11BD30FE}"/>
</file>

<file path=customXml/itemProps4.xml><?xml version="1.0" encoding="utf-8"?>
<ds:datastoreItem xmlns:ds="http://schemas.openxmlformats.org/officeDocument/2006/customXml" ds:itemID="{06EFEADD-F05A-45C7-82FD-B1CB82547465}"/>
</file>

<file path=docProps/app.xml><?xml version="1.0" encoding="utf-8"?>
<Properties xmlns="http://schemas.openxmlformats.org/officeDocument/2006/extended-properties" xmlns:vt="http://schemas.openxmlformats.org/officeDocument/2006/docPropsVTypes">
  <Template>8304DAA1.dotm</Template>
  <TotalTime>0</TotalTime>
  <Pages>3</Pages>
  <Words>1176</Words>
  <Characters>6469</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RIZIV-INAMI</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Veel gestelde vragen – opsporingstesten Covid-19</dc:title>
  <dc:subject/>
  <dc:creator>Pieter Geentjens (RIZIV-INAMI)</dc:creator>
  <cp:keywords/>
  <dc:description/>
  <cp:lastModifiedBy>Sandrine Bingen (RIZIV-INAMI)</cp:lastModifiedBy>
  <cp:revision>4</cp:revision>
  <dcterms:created xsi:type="dcterms:W3CDTF">2020-06-15T15:04:00Z</dcterms:created>
  <dcterms:modified xsi:type="dcterms:W3CDTF">2020-06-15T15:09:00Z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
  </property>
  <property fmtid="{D5CDD505-2E9C-101B-9397-08002B2CF9AE}" pid="4" name="RITheme">
    <vt:lpwstr/>
  </property>
  <property fmtid="{D5CDD505-2E9C-101B-9397-08002B2CF9AE}" pid="5" name="RILanguage">
    <vt:lpwstr>12;#Nederlands|1daba039-17e6-4993-bb2c-50e1d16ef364</vt:lpwstr>
  </property>
  <property fmtid="{D5CDD505-2E9C-101B-9397-08002B2CF9AE}" pid="6" name="RIDocType">
    <vt:lpwstr/>
  </property>
  <property fmtid="{D5CDD505-2E9C-101B-9397-08002B2CF9AE}" pid="7" name="Publication type for documents">
    <vt:lpwstr/>
  </property>
</Properties>
</file>