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AE366D">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3DF19386"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2024</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4-12-10T00:00:00Z">
            <w:dateFormat w:val="d-M-yyyy"/>
            <w:lid w:val="nl-NL"/>
            <w:storeMappedDataAs w:val="dateTime"/>
            <w:calendar w:val="gregorian"/>
          </w:date>
        </w:sdtPr>
        <w:sdtEndPr/>
        <w:sdtContent>
          <w:r w:rsidR="00AE366D">
            <w:rPr>
              <w:rFonts w:ascii="Arial" w:hAnsi="Arial" w:cs="Arial"/>
              <w:sz w:val="18"/>
              <w:szCs w:val="18"/>
              <w:lang w:val="nl-NL"/>
            </w:rPr>
            <w:t>10-12-2024</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AE366D"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4C37FE81" w14:textId="77777777" w:rsidR="008B5558" w:rsidRDefault="00AE366D">
          <w:pPr>
            <w:tabs>
              <w:tab w:val="left" w:pos="3558"/>
              <w:tab w:val="center" w:pos="4680"/>
              <w:tab w:val="left" w:pos="7098"/>
              <w:tab w:val="right" w:pos="9360"/>
            </w:tabs>
            <w:rPr>
              <w:rFonts w:ascii="Arial" w:hAnsi="Arial" w:cs="Arial"/>
              <w:sz w:val="18"/>
              <w:szCs w:val="18"/>
              <w:lang w:val="nl-BE"/>
            </w:rPr>
          </w:pPr>
          <w:r>
            <w:rPr>
              <w:lang w:val="nl-BE"/>
            </w:rPr>
            <w:br/>
            <w:t>260 /..</w:t>
          </w:r>
          <w:r>
            <w:rPr>
              <w:lang w:val="nl-BE"/>
            </w:rPr>
            <w:br/>
            <w:t>52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534DC540" w14:textId="77777777" w:rsidR="00AE366D" w:rsidRDefault="00AE366D">
          <w:pPr>
            <w:pStyle w:val="NormalWeb"/>
            <w:divId w:val="1855612899"/>
            <w:rPr>
              <w:rFonts w:ascii="Arial" w:hAnsi="Arial" w:cs="Arial"/>
              <w:sz w:val="18"/>
              <w:szCs w:val="18"/>
            </w:rPr>
          </w:pPr>
          <w:r>
            <w:rPr>
              <w:rFonts w:ascii="Arial" w:hAnsi="Arial" w:cs="Arial"/>
              <w:sz w:val="18"/>
              <w:szCs w:val="18"/>
            </w:rPr>
            <w:t>​</w:t>
          </w:r>
          <w:r>
            <w:rPr>
              <w:rStyle w:val="lev"/>
              <w:rFonts w:ascii="Arial" w:hAnsi="Arial" w:cs="Arial"/>
              <w:sz w:val="18"/>
              <w:szCs w:val="18"/>
            </w:rPr>
            <w:t>Uitwisseling van de statistische rapporten over de ambtshalve inschrijving van gerechtigden in de hoedanigheid van loontrekkende op basis van de DIMONA-flux en bijdragebons </w:t>
          </w:r>
          <w:r>
            <w:rPr>
              <w:rFonts w:ascii="Arial" w:hAnsi="Arial" w:cs="Arial"/>
              <w:sz w:val="18"/>
              <w:szCs w:val="18"/>
            </w:rPr>
            <w:t>​</w:t>
          </w:r>
          <w:r>
            <w:rPr>
              <w:rFonts w:ascii="Arial" w:hAnsi="Arial" w:cs="Arial"/>
              <w:sz w:val="18"/>
              <w:szCs w:val="18"/>
            </w:rPr>
            <w:t>.</w:t>
          </w:r>
        </w:p>
        <w:p w14:paraId="1B2B7E5F" w14:textId="77777777" w:rsidR="008B5558" w:rsidRDefault="00AE366D">
          <w:pPr>
            <w:spacing w:after="0" w:line="14" w:lineRule="exact"/>
            <w:rPr>
              <w:sz w:val="2"/>
              <w:szCs w:val="2"/>
            </w:rPr>
          </w:pPr>
        </w:p>
      </w:sdtContent>
    </w:sdt>
    <w:p w14:paraId="0B6F0332" w14:textId="77777777" w:rsidR="00AE366D" w:rsidRPr="001B3E0A" w:rsidRDefault="00AE366D" w:rsidP="00AE366D">
      <w:pPr>
        <w:pStyle w:val="Paragraphedeliste"/>
        <w:numPr>
          <w:ilvl w:val="0"/>
          <w:numId w:val="2"/>
        </w:numPr>
        <w:jc w:val="both"/>
        <w:rPr>
          <w:rFonts w:cs="Arial"/>
          <w:sz w:val="24"/>
          <w:szCs w:val="24"/>
          <w:lang w:val="nl-BE"/>
        </w:rPr>
      </w:pPr>
      <w:r w:rsidRPr="001B3E0A">
        <w:rPr>
          <w:rFonts w:cs="Arial"/>
          <w:b/>
          <w:sz w:val="24"/>
          <w:szCs w:val="24"/>
          <w:lang w:val="nl-BE"/>
        </w:rPr>
        <w:t>Inleiding</w:t>
      </w:r>
      <w:r w:rsidRPr="001B3E0A">
        <w:rPr>
          <w:rFonts w:cs="Arial"/>
          <w:sz w:val="24"/>
          <w:szCs w:val="24"/>
          <w:lang w:val="nl-BE"/>
        </w:rPr>
        <w:t>:</w:t>
      </w:r>
    </w:p>
    <w:p w14:paraId="3CDA5E12" w14:textId="77777777" w:rsidR="00AE366D" w:rsidRPr="001B3E0A" w:rsidRDefault="00AE366D" w:rsidP="00AE366D">
      <w:pPr>
        <w:jc w:val="both"/>
        <w:rPr>
          <w:rFonts w:cs="Arial"/>
          <w:lang w:val="nl-BE"/>
        </w:rPr>
      </w:pPr>
      <w:r w:rsidRPr="001B3E0A">
        <w:rPr>
          <w:rFonts w:cs="Arial"/>
          <w:lang w:val="nl-BE"/>
        </w:rPr>
        <w:t>Deze omzendbrief behandelt de uitwisseling van de statistische rapporten over de ambtshalve inschrijving van gerechtigden in de hoedanigheid van loontrekkende op basis van de DIMONA-flux en bijdragebons bedoeld in artikel 252 van het K.B. van 3 juli 1996.</w:t>
      </w:r>
    </w:p>
    <w:p w14:paraId="2057A844" w14:textId="77777777" w:rsidR="00AE366D" w:rsidRPr="001B3E0A" w:rsidRDefault="00AE366D" w:rsidP="00AE366D">
      <w:pPr>
        <w:jc w:val="both"/>
        <w:rPr>
          <w:rFonts w:cs="Arial"/>
          <w:lang w:val="nl-BE"/>
        </w:rPr>
      </w:pPr>
      <w:r w:rsidRPr="001B3E0A">
        <w:rPr>
          <w:rFonts w:cs="Arial"/>
          <w:lang w:val="nl-BE"/>
        </w:rPr>
        <w:t>De omzendbrief stelt de modaliteiten vast voor de gegevensuitwisseling tussen de Dienst voor administratieve controle (DAC) en de verzekeringsinstellingen (V.I.) in dit kader.</w:t>
      </w:r>
    </w:p>
    <w:p w14:paraId="5DDEF65E" w14:textId="77777777" w:rsidR="00AE366D" w:rsidRPr="001B3E0A" w:rsidRDefault="00AE366D" w:rsidP="00AE366D">
      <w:pPr>
        <w:jc w:val="both"/>
        <w:rPr>
          <w:rFonts w:cs="Arial"/>
          <w:lang w:val="nl-BE"/>
        </w:rPr>
      </w:pPr>
      <w:r w:rsidRPr="001B3E0A">
        <w:rPr>
          <w:rFonts w:cs="Arial"/>
          <w:lang w:val="nl-BE"/>
        </w:rPr>
        <w:t>In bijlage bij deze omzendbrief bevinden zich naast het technisch document met de gedetailleerde beschrijving van de gegevensuitwisseling een kalender van de gegevensuitwisselingen voor 2024 (atypische uitwisseling) en voor de jaren volgend op 2024 (standaarduitwisseling).</w:t>
      </w:r>
    </w:p>
    <w:p w14:paraId="4D9E60CB" w14:textId="77777777" w:rsidR="00AE366D" w:rsidRPr="001B3E0A" w:rsidRDefault="00AE366D" w:rsidP="00AE366D">
      <w:pPr>
        <w:pStyle w:val="Paragraphedeliste"/>
        <w:numPr>
          <w:ilvl w:val="0"/>
          <w:numId w:val="2"/>
        </w:numPr>
        <w:spacing w:after="0" w:line="240" w:lineRule="auto"/>
        <w:jc w:val="both"/>
        <w:rPr>
          <w:rStyle w:val="lev"/>
          <w:rFonts w:cstheme="minorHAnsi"/>
          <w:b w:val="0"/>
          <w:bCs w:val="0"/>
          <w:sz w:val="24"/>
          <w:szCs w:val="24"/>
          <w:lang w:val="nl-BE"/>
        </w:rPr>
      </w:pPr>
      <w:r w:rsidRPr="001B3E0A">
        <w:rPr>
          <w:rFonts w:eastAsia="Calibri" w:cstheme="minorHAnsi"/>
          <w:b/>
          <w:sz w:val="24"/>
          <w:szCs w:val="24"/>
          <w:lang w:val="nl-BE"/>
        </w:rPr>
        <w:t xml:space="preserve">Doel van de uitwisseling </w:t>
      </w:r>
      <w:r w:rsidRPr="001B3E0A">
        <w:rPr>
          <w:rStyle w:val="lev"/>
          <w:rFonts w:cstheme="minorHAnsi"/>
          <w:sz w:val="24"/>
          <w:szCs w:val="24"/>
          <w:lang w:val="nl-NL"/>
        </w:rPr>
        <w:t>statistische rapporten over de ambtshalve inschrijving van gerechtigden in de hoedanigheid van loontrekkende op basis van de DIMONA-flux en bijdragebons</w:t>
      </w:r>
    </w:p>
    <w:p w14:paraId="4FF4341F" w14:textId="77777777" w:rsidR="00AE366D" w:rsidRPr="001B3E0A" w:rsidRDefault="00AE366D" w:rsidP="00AE366D">
      <w:pPr>
        <w:spacing w:after="0" w:line="240" w:lineRule="auto"/>
        <w:contextualSpacing/>
        <w:rPr>
          <w:lang w:val="nl-BE"/>
        </w:rPr>
      </w:pPr>
    </w:p>
    <w:p w14:paraId="66806413" w14:textId="77777777" w:rsidR="00AE366D" w:rsidRPr="001B3E0A" w:rsidRDefault="00AE366D" w:rsidP="00AE366D">
      <w:pPr>
        <w:spacing w:after="0" w:line="240" w:lineRule="auto"/>
        <w:contextualSpacing/>
        <w:jc w:val="both"/>
        <w:rPr>
          <w:lang w:val="nl-BE"/>
        </w:rPr>
      </w:pPr>
      <w:r w:rsidRPr="001B3E0A">
        <w:rPr>
          <w:lang w:val="nl-BE"/>
        </w:rPr>
        <w:t>Vanaf 6 juli 2022 mogen de ziekenfondsen personen ten laste waarvoor ze een bericht ontvangen uit de nieuwe DIMONA-flux ambtshalve inschrijven als gerechtigde in de hoedanigheid van loontrekkende (artikel 32, eerste lid, 1° GVU-wet). Vanaf 2023 kan deze ambtshalve inschrijving ook op basis van een bijdragebon gebeuren.</w:t>
      </w:r>
    </w:p>
    <w:p w14:paraId="668C0C6F" w14:textId="77777777" w:rsidR="00AE366D" w:rsidRPr="001B3E0A" w:rsidRDefault="00AE366D" w:rsidP="00AE366D">
      <w:pPr>
        <w:spacing w:after="0" w:line="240" w:lineRule="auto"/>
        <w:contextualSpacing/>
        <w:jc w:val="both"/>
        <w:rPr>
          <w:lang w:val="nl-BE"/>
        </w:rPr>
      </w:pPr>
    </w:p>
    <w:p w14:paraId="25C5EEDE" w14:textId="77777777" w:rsidR="00AE366D" w:rsidRPr="001B3E0A" w:rsidRDefault="00AE366D" w:rsidP="00AE366D">
      <w:pPr>
        <w:spacing w:after="0" w:line="240" w:lineRule="auto"/>
        <w:contextualSpacing/>
        <w:jc w:val="both"/>
        <w:rPr>
          <w:lang w:val="nl-BE"/>
        </w:rPr>
      </w:pPr>
      <w:r w:rsidRPr="001B3E0A">
        <w:rPr>
          <w:lang w:val="nl-BE"/>
        </w:rPr>
        <w:t>De procedure van ambtshalve inschrijving is sindsdien terug te vinden in artikel 252 van het K.B. van 3 juli 1996 en de omzendbrief V.I. 2022/256 van 14 juli 2022</w:t>
      </w:r>
      <w:r>
        <w:rPr>
          <w:lang w:val="nl-BE"/>
        </w:rPr>
        <w:t>.</w:t>
      </w:r>
    </w:p>
    <w:p w14:paraId="35698DBF" w14:textId="77777777" w:rsidR="00AE366D" w:rsidRPr="001B3E0A" w:rsidRDefault="00AE366D" w:rsidP="00AE366D">
      <w:pPr>
        <w:spacing w:after="0" w:line="240" w:lineRule="auto"/>
        <w:contextualSpacing/>
        <w:jc w:val="both"/>
        <w:rPr>
          <w:lang w:val="nl-BE"/>
        </w:rPr>
      </w:pPr>
    </w:p>
    <w:p w14:paraId="2D6F9CB9" w14:textId="77777777" w:rsidR="00AE366D" w:rsidRPr="001B3E0A" w:rsidRDefault="00AE366D" w:rsidP="00AE366D">
      <w:pPr>
        <w:spacing w:after="0" w:line="240" w:lineRule="auto"/>
        <w:contextualSpacing/>
        <w:jc w:val="both"/>
        <w:rPr>
          <w:lang w:val="nl-BE"/>
        </w:rPr>
      </w:pPr>
      <w:r w:rsidRPr="001B3E0A">
        <w:rPr>
          <w:lang w:val="nl-BE"/>
        </w:rPr>
        <w:t xml:space="preserve">De ambtshalve inschrijving is een innovatie binnen de VGVU. Ze is een resultaat van het project Vervanging van de werkgeversverklaring bij een inschrijving als gerechtigde werknemer door een DIMONA-bericht. </w:t>
      </w:r>
    </w:p>
    <w:p w14:paraId="2DDC31DC" w14:textId="77777777" w:rsidR="00AE366D" w:rsidRDefault="00AE366D" w:rsidP="00AE366D">
      <w:pPr>
        <w:spacing w:after="0" w:line="240" w:lineRule="auto"/>
        <w:contextualSpacing/>
        <w:jc w:val="both"/>
        <w:rPr>
          <w:lang w:val="nl-BE"/>
        </w:rPr>
      </w:pPr>
    </w:p>
    <w:p w14:paraId="737197CA" w14:textId="77777777" w:rsidR="00AE366D" w:rsidRDefault="00AE366D" w:rsidP="00AE366D">
      <w:pPr>
        <w:spacing w:after="0" w:line="240" w:lineRule="auto"/>
        <w:contextualSpacing/>
        <w:jc w:val="both"/>
        <w:rPr>
          <w:lang w:val="nl-BE"/>
        </w:rPr>
      </w:pPr>
    </w:p>
    <w:p w14:paraId="67D91C89" w14:textId="77777777" w:rsidR="00AE366D" w:rsidRDefault="00AE366D" w:rsidP="00AE366D">
      <w:pPr>
        <w:spacing w:after="0" w:line="240" w:lineRule="auto"/>
        <w:contextualSpacing/>
        <w:jc w:val="both"/>
        <w:rPr>
          <w:lang w:val="nl-BE"/>
        </w:rPr>
      </w:pPr>
    </w:p>
    <w:p w14:paraId="0F28B33A" w14:textId="77777777" w:rsidR="00AE366D" w:rsidRDefault="00AE366D" w:rsidP="00AE366D">
      <w:pPr>
        <w:spacing w:after="0" w:line="240" w:lineRule="auto"/>
        <w:contextualSpacing/>
        <w:jc w:val="both"/>
        <w:rPr>
          <w:lang w:val="nl-BE"/>
        </w:rPr>
      </w:pPr>
    </w:p>
    <w:p w14:paraId="5777426A" w14:textId="77777777" w:rsidR="00AE366D" w:rsidRPr="001B3E0A" w:rsidRDefault="00AE366D" w:rsidP="00AE366D">
      <w:pPr>
        <w:spacing w:after="0" w:line="240" w:lineRule="auto"/>
        <w:contextualSpacing/>
        <w:jc w:val="both"/>
        <w:rPr>
          <w:lang w:val="nl-BE"/>
        </w:rPr>
      </w:pPr>
    </w:p>
    <w:p w14:paraId="153BC51C" w14:textId="77777777" w:rsidR="00AE366D" w:rsidRDefault="00AE366D" w:rsidP="00AE366D">
      <w:pPr>
        <w:pStyle w:val="Paragraphedeliste"/>
        <w:numPr>
          <w:ilvl w:val="0"/>
          <w:numId w:val="2"/>
        </w:numPr>
        <w:jc w:val="both"/>
        <w:rPr>
          <w:b/>
          <w:bCs/>
          <w:sz w:val="24"/>
          <w:szCs w:val="24"/>
          <w:lang w:val="nl-NL"/>
        </w:rPr>
      </w:pPr>
      <w:r w:rsidRPr="001B3E0A">
        <w:rPr>
          <w:b/>
          <w:bCs/>
          <w:sz w:val="24"/>
          <w:szCs w:val="24"/>
          <w:lang w:val="nl-NL"/>
        </w:rPr>
        <w:lastRenderedPageBreak/>
        <w:t>De gegevensuitwisseling: inhoud &amp; timing</w:t>
      </w:r>
    </w:p>
    <w:p w14:paraId="31058C87" w14:textId="77777777" w:rsidR="00AE366D" w:rsidRPr="00D7705C" w:rsidRDefault="00AE366D" w:rsidP="00AE366D">
      <w:pPr>
        <w:pStyle w:val="Paragraphedeliste"/>
        <w:numPr>
          <w:ilvl w:val="1"/>
          <w:numId w:val="2"/>
        </w:numPr>
        <w:jc w:val="both"/>
        <w:rPr>
          <w:b/>
          <w:bCs/>
          <w:sz w:val="24"/>
          <w:szCs w:val="24"/>
          <w:lang w:val="nl-NL"/>
        </w:rPr>
      </w:pPr>
      <w:r w:rsidRPr="00D7705C">
        <w:rPr>
          <w:b/>
          <w:bCs/>
          <w:lang w:val="nl-NL"/>
        </w:rPr>
        <w:t>Inleiding</w:t>
      </w:r>
    </w:p>
    <w:p w14:paraId="3CECEA37" w14:textId="77777777" w:rsidR="00AE366D" w:rsidRPr="000B085D" w:rsidRDefault="00AE366D" w:rsidP="00AE366D">
      <w:pPr>
        <w:spacing w:line="240" w:lineRule="auto"/>
        <w:jc w:val="both"/>
        <w:rPr>
          <w:lang w:val="nl-NL"/>
        </w:rPr>
      </w:pPr>
      <w:r w:rsidRPr="001B3E0A">
        <w:rPr>
          <w:lang w:val="nl-NL"/>
        </w:rPr>
        <w:t>De gevraagde rapportering is enerzijds afkomstig van het NIC en anderzijds afkomstig van de verschillende V</w:t>
      </w:r>
      <w:r>
        <w:rPr>
          <w:lang w:val="nl-NL"/>
        </w:rPr>
        <w:t>.</w:t>
      </w:r>
      <w:r w:rsidRPr="001B3E0A">
        <w:rPr>
          <w:lang w:val="nl-NL"/>
        </w:rPr>
        <w:t>I.</w:t>
      </w:r>
      <w:r w:rsidRPr="001B3E0A">
        <w:rPr>
          <w:b/>
          <w:bCs/>
          <w:lang w:val="nl-NL"/>
        </w:rPr>
        <w:t xml:space="preserve"> </w:t>
      </w:r>
      <w:r w:rsidRPr="001B3E0A">
        <w:rPr>
          <w:lang w:val="nl-NL"/>
        </w:rPr>
        <w:t>De gevraagde rapportering wordt beschreven per leverancier.</w:t>
      </w:r>
      <w:r>
        <w:rPr>
          <w:lang w:val="nl-NL"/>
        </w:rPr>
        <w:t xml:space="preserve"> </w:t>
      </w:r>
    </w:p>
    <w:p w14:paraId="67E20B48" w14:textId="77777777" w:rsidR="00AE366D" w:rsidRPr="00C6334E" w:rsidRDefault="00AE366D" w:rsidP="00AE366D">
      <w:pPr>
        <w:spacing w:line="240" w:lineRule="auto"/>
        <w:jc w:val="both"/>
        <w:rPr>
          <w:lang w:val="nl-BE"/>
        </w:rPr>
      </w:pPr>
      <w:r w:rsidRPr="00C6334E">
        <w:rPr>
          <w:lang w:val="nl-BE"/>
        </w:rPr>
        <w:t>Als een V.I. een DIMONA-bericht ontvangt in het jaar X+1 met een startdatum van tewerkstelling in het voorgaande jaar (X), maakt het bericht deel uit van de rapportering van het jaar van ontvangst van het DIMONA-bericht (X+1) voor het jaar van onderwerping (X). De rapportering wordt per jaar verdeeld op basis van de startdatum van de tewerkstelling (X in het voorbeeld</w:t>
      </w:r>
      <w:r>
        <w:rPr>
          <w:rStyle w:val="Appelnotedebasdep"/>
          <w:lang w:val="nl-BE"/>
        </w:rPr>
        <w:footnoteReference w:id="2"/>
      </w:r>
      <w:r w:rsidRPr="00C6334E">
        <w:rPr>
          <w:lang w:val="nl-BE"/>
        </w:rPr>
        <w:t>) en de datum van ontvangst van het DIMONA-bericht (of van de bijdragebon)</w:t>
      </w:r>
      <w:r>
        <w:rPr>
          <w:lang w:val="nl-BE"/>
        </w:rPr>
        <w:t>.</w:t>
      </w:r>
    </w:p>
    <w:p w14:paraId="65D7B80C" w14:textId="77777777" w:rsidR="00AE366D" w:rsidRPr="0036207E" w:rsidRDefault="00AE366D" w:rsidP="00AE366D">
      <w:pPr>
        <w:pStyle w:val="Paragraphedeliste"/>
        <w:numPr>
          <w:ilvl w:val="1"/>
          <w:numId w:val="2"/>
        </w:numPr>
        <w:spacing w:line="240" w:lineRule="auto"/>
        <w:jc w:val="both"/>
        <w:rPr>
          <w:lang w:val="nl-NL"/>
        </w:rPr>
      </w:pPr>
      <w:r w:rsidRPr="00D7705C">
        <w:rPr>
          <w:b/>
          <w:bCs/>
          <w:lang w:val="nl-NL"/>
        </w:rPr>
        <w:t xml:space="preserve">Concepten </w:t>
      </w:r>
    </w:p>
    <w:p w14:paraId="1FBC9DF8" w14:textId="77777777" w:rsidR="00AE366D" w:rsidRPr="00745E94" w:rsidRDefault="00AE366D" w:rsidP="00AE366D">
      <w:pPr>
        <w:pStyle w:val="Paragraphedeliste"/>
        <w:numPr>
          <w:ilvl w:val="2"/>
          <w:numId w:val="2"/>
        </w:numPr>
        <w:jc w:val="both"/>
        <w:rPr>
          <w:u w:val="single"/>
          <w:lang w:val="nl-NL"/>
        </w:rPr>
      </w:pPr>
      <w:r w:rsidRPr="00745E94">
        <w:rPr>
          <w:u w:val="single"/>
          <w:lang w:val="nl-NL"/>
        </w:rPr>
        <w:t xml:space="preserve">Het jaar van onderwerping </w:t>
      </w:r>
      <w:r>
        <w:rPr>
          <w:u w:val="single"/>
          <w:lang w:val="nl-NL"/>
        </w:rPr>
        <w:t xml:space="preserve">YYYY </w:t>
      </w:r>
      <w:r w:rsidRPr="00745E94">
        <w:rPr>
          <w:u w:val="single"/>
          <w:lang w:val="nl-NL"/>
        </w:rPr>
        <w:t>:</w:t>
      </w:r>
    </w:p>
    <w:p w14:paraId="2205055E" w14:textId="77777777" w:rsidR="00AE366D" w:rsidRPr="001B3E0A" w:rsidRDefault="00AE366D" w:rsidP="00AE366D">
      <w:pPr>
        <w:jc w:val="both"/>
        <w:rPr>
          <w:lang w:val="nl-NL"/>
        </w:rPr>
      </w:pPr>
      <w:r w:rsidRPr="001B3E0A">
        <w:rPr>
          <w:lang w:val="nl-NL"/>
        </w:rPr>
        <w:t>Het jaar van onderwerping is het jaar waarop de activiteit en dus de onderwerping uit de DIMONA-berichten en Bijdragebons betrekking hebben</w:t>
      </w:r>
      <w:r>
        <w:rPr>
          <w:lang w:val="nl-NL"/>
        </w:rPr>
        <w:t xml:space="preserve"> </w:t>
      </w:r>
      <w:r w:rsidRPr="001B3E0A">
        <w:rPr>
          <w:lang w:val="nl-NL"/>
        </w:rPr>
        <w:t>(jaar X genoemd in de omzendbrief)</w:t>
      </w:r>
      <w:r>
        <w:rPr>
          <w:lang w:val="nl-NL"/>
        </w:rPr>
        <w:t>.</w:t>
      </w:r>
    </w:p>
    <w:p w14:paraId="35ABAB8F" w14:textId="77777777" w:rsidR="00AE366D" w:rsidRPr="00E578B7" w:rsidRDefault="00AE366D" w:rsidP="00AE366D">
      <w:pPr>
        <w:spacing w:line="240" w:lineRule="auto"/>
        <w:jc w:val="both"/>
        <w:rPr>
          <w:lang w:val="nl-NL"/>
        </w:rPr>
      </w:pPr>
      <w:r w:rsidRPr="00E578B7">
        <w:rPr>
          <w:lang w:val="nl-NL"/>
        </w:rPr>
        <w:t>Indien een V.I. een DIMONA-bericht ontvangt in jaar X+1 met een startdatum van de tewerkstelling in het voorafgaande jaar (Y), wordt het bericht opgenomen in de rapportering van het jaar van de ontvangst van het DIMONA-bericht (X+1). De rapportering wordt wel onderverdeeld in jaren afhankelijk van de startdatum van de tewerkstelling (dus Y).</w:t>
      </w:r>
    </w:p>
    <w:p w14:paraId="15E16092" w14:textId="77777777" w:rsidR="00AE366D" w:rsidRPr="00745E94" w:rsidRDefault="00AE366D" w:rsidP="00AE366D">
      <w:pPr>
        <w:pStyle w:val="Paragraphedeliste"/>
        <w:numPr>
          <w:ilvl w:val="2"/>
          <w:numId w:val="2"/>
        </w:numPr>
        <w:jc w:val="both"/>
        <w:rPr>
          <w:u w:val="single"/>
          <w:lang w:val="nl-NL"/>
        </w:rPr>
      </w:pPr>
      <w:r w:rsidRPr="00745E94">
        <w:rPr>
          <w:u w:val="single"/>
          <w:lang w:val="nl-NL"/>
        </w:rPr>
        <w:t>Het jaar uitwisseling XXXX</w:t>
      </w:r>
      <w:r>
        <w:rPr>
          <w:u w:val="single"/>
          <w:lang w:val="nl-NL"/>
        </w:rPr>
        <w:t xml:space="preserve"> :</w:t>
      </w:r>
    </w:p>
    <w:p w14:paraId="02428FCB" w14:textId="77777777" w:rsidR="00AE366D" w:rsidRPr="00E578B7" w:rsidRDefault="00AE366D" w:rsidP="00AE366D">
      <w:pPr>
        <w:jc w:val="both"/>
        <w:rPr>
          <w:lang w:val="nl-NL"/>
        </w:rPr>
      </w:pPr>
      <w:r w:rsidRPr="00E578B7">
        <w:rPr>
          <w:lang w:val="nl-NL"/>
        </w:rPr>
        <w:t>Het jaar waarop de V.I. de informatie ontving (DIMONA-bericht of bijdragebon).</w:t>
      </w:r>
    </w:p>
    <w:p w14:paraId="4E930E8D" w14:textId="77777777" w:rsidR="00AE366D" w:rsidRPr="00E578B7" w:rsidRDefault="00AE366D" w:rsidP="00AE366D">
      <w:pPr>
        <w:jc w:val="both"/>
        <w:rPr>
          <w:lang w:val="nl-NL"/>
        </w:rPr>
      </w:pPr>
      <w:r w:rsidRPr="00E578B7">
        <w:rPr>
          <w:lang w:val="nl-NL"/>
        </w:rPr>
        <w:t xml:space="preserve">Voorbeeld: voor verzekerde A ontvangt de V.I. op 3 mei 2024 een DIMONA-bericht voor een activiteit die startte op 10 maart 2024.  Voor de velden waarop een kwartaal wordt gevraagd, wordt T2 2024 ingevuld – het jaar van onderwerping is 2024. </w:t>
      </w:r>
    </w:p>
    <w:p w14:paraId="7AA20CB7" w14:textId="77777777" w:rsidR="00AE366D" w:rsidRDefault="00AE366D" w:rsidP="00AE366D">
      <w:pPr>
        <w:jc w:val="both"/>
        <w:rPr>
          <w:lang w:val="nl-NL"/>
        </w:rPr>
      </w:pPr>
      <w:r w:rsidRPr="00E578B7">
        <w:rPr>
          <w:lang w:val="nl-NL"/>
        </w:rPr>
        <w:t xml:space="preserve">Voorbeeld 2: voor verzekerde B ontvangt de V.I. op 3 januari 2024 een DIMONA-bericht voor een activiteit die startte op 10 december 2023.  Voor de velden waarop een kwartaal wordt gevraagd, wordt T1 2024 ingevuld – het jaar van onderwerping is 2023. </w:t>
      </w:r>
    </w:p>
    <w:p w14:paraId="5B3BB2D3" w14:textId="77777777" w:rsidR="00AE366D" w:rsidRDefault="00AE366D" w:rsidP="00AE366D">
      <w:pPr>
        <w:jc w:val="both"/>
        <w:rPr>
          <w:lang w:val="nl-NL"/>
        </w:rPr>
      </w:pPr>
    </w:p>
    <w:p w14:paraId="19EF4474" w14:textId="77777777" w:rsidR="00AE366D" w:rsidRDefault="00AE366D" w:rsidP="00AE366D">
      <w:pPr>
        <w:jc w:val="both"/>
        <w:rPr>
          <w:lang w:val="nl-NL"/>
        </w:rPr>
      </w:pPr>
    </w:p>
    <w:p w14:paraId="29E1A857" w14:textId="77777777" w:rsidR="00AE366D" w:rsidRDefault="00AE366D" w:rsidP="00AE366D">
      <w:pPr>
        <w:jc w:val="both"/>
        <w:rPr>
          <w:lang w:val="nl-NL"/>
        </w:rPr>
      </w:pPr>
    </w:p>
    <w:p w14:paraId="1BBD44FF" w14:textId="77777777" w:rsidR="00AE366D" w:rsidRDefault="00AE366D" w:rsidP="00AE366D">
      <w:pPr>
        <w:jc w:val="both"/>
        <w:rPr>
          <w:lang w:val="nl-NL"/>
        </w:rPr>
      </w:pPr>
    </w:p>
    <w:p w14:paraId="4DE9045D" w14:textId="77777777" w:rsidR="00AE366D" w:rsidRDefault="00AE366D" w:rsidP="00AE366D">
      <w:pPr>
        <w:jc w:val="both"/>
        <w:rPr>
          <w:lang w:val="nl-NL"/>
        </w:rPr>
      </w:pPr>
    </w:p>
    <w:p w14:paraId="20E82EE8" w14:textId="77777777" w:rsidR="00AE366D" w:rsidRDefault="00AE366D" w:rsidP="00AE366D">
      <w:pPr>
        <w:jc w:val="both"/>
        <w:rPr>
          <w:lang w:val="nl-NL"/>
        </w:rPr>
      </w:pPr>
    </w:p>
    <w:p w14:paraId="35CEC2FD" w14:textId="77777777" w:rsidR="00AE366D" w:rsidRPr="00D7705C" w:rsidRDefault="00AE366D" w:rsidP="00AE366D">
      <w:pPr>
        <w:pStyle w:val="Paragraphedeliste"/>
        <w:numPr>
          <w:ilvl w:val="1"/>
          <w:numId w:val="2"/>
        </w:numPr>
        <w:jc w:val="both"/>
        <w:rPr>
          <w:lang w:val="nl-NL"/>
        </w:rPr>
      </w:pPr>
      <w:r w:rsidRPr="00D7705C">
        <w:rPr>
          <w:b/>
          <w:bCs/>
          <w:lang w:val="nl-NL"/>
        </w:rPr>
        <w:lastRenderedPageBreak/>
        <w:t>Cijfers vanuit NIC</w:t>
      </w:r>
    </w:p>
    <w:p w14:paraId="581B3D26" w14:textId="77777777" w:rsidR="00AE366D" w:rsidRPr="00E578B7" w:rsidRDefault="00AE366D" w:rsidP="00AE366D">
      <w:pPr>
        <w:rPr>
          <w:lang w:val="nl-NL"/>
        </w:rPr>
      </w:pPr>
      <w:r w:rsidRPr="00E578B7">
        <w:rPr>
          <w:lang w:val="nl-NL"/>
        </w:rPr>
        <w:t>Het NIC maakt een rapport op met de DIMONA-berichten die vanuit het NIC werden verzonden naar de V.I. (zie bijlage 1)</w:t>
      </w:r>
      <w:r>
        <w:rPr>
          <w:lang w:val="nl-NL"/>
        </w:rPr>
        <w:t>.</w:t>
      </w:r>
      <w:r w:rsidRPr="00E578B7">
        <w:rPr>
          <w:lang w:val="nl-NL"/>
        </w:rPr>
        <w:t xml:space="preserve"> Het rapport bestaat uit een tabel met het aantal verzonden berichten en het aandeel verzonden berichten. De cijfers in beide tabellen worden opgedeeld per kwartaal.</w:t>
      </w:r>
    </w:p>
    <w:p w14:paraId="5BF7C5DA" w14:textId="17ED2D17" w:rsidR="00AE366D" w:rsidRPr="00E578B7" w:rsidRDefault="00AE366D" w:rsidP="00AE366D">
      <w:pPr>
        <w:jc w:val="both"/>
        <w:rPr>
          <w:lang w:val="nl-NL"/>
        </w:rPr>
      </w:pPr>
      <w:r w:rsidRPr="00E578B7">
        <w:rPr>
          <w:lang w:val="nl-NL"/>
        </w:rPr>
        <w:t xml:space="preserve">Het aandeel DIMONA-berichten wordt gevraagd om een inzicht te krijgen in de verdeling van de DIMONA-berichten tussen de V.I. Het aandeel wordt berekend per kwartaal. </w:t>
      </w:r>
    </w:p>
    <w:p w14:paraId="7FDB797F" w14:textId="77777777" w:rsidR="00AE366D" w:rsidRPr="00E578B7" w:rsidRDefault="00AE366D" w:rsidP="00AE366D">
      <w:pPr>
        <w:jc w:val="both"/>
        <w:rPr>
          <w:lang w:val="nl-NL"/>
        </w:rPr>
      </w:pPr>
      <w:r>
        <w:rPr>
          <w:lang w:val="nl-NL"/>
        </w:rPr>
        <w:t>Bvb.</w:t>
      </w:r>
      <w:r w:rsidRPr="00E578B7">
        <w:rPr>
          <w:lang w:val="nl-NL"/>
        </w:rPr>
        <w:t xml:space="preserve"> V.I. A heeft 100 berichten in het eerste kwartaal (T1) van jaar X, 500 berichten in het tweede kwartaal (T2) van jaar X, 200 berichten in het derde kwartaal (T3) van jaar X en 100 berichten in het vierde kwartaal (T4) van jaar X. In totaal werden er 4.200 DIMONA berichten gestuurd naar alle V.I. (T1: 1</w:t>
      </w:r>
      <w:r>
        <w:rPr>
          <w:lang w:val="nl-NL"/>
        </w:rPr>
        <w:t>.</w:t>
      </w:r>
      <w:r w:rsidRPr="00E578B7">
        <w:rPr>
          <w:lang w:val="nl-NL"/>
        </w:rPr>
        <w:t>000, T2: 1</w:t>
      </w:r>
      <w:r>
        <w:rPr>
          <w:lang w:val="nl-NL"/>
        </w:rPr>
        <w:t>.</w:t>
      </w:r>
      <w:r w:rsidRPr="00E578B7">
        <w:rPr>
          <w:lang w:val="nl-NL"/>
        </w:rPr>
        <w:t>200, T3: 800, T4: 1.200). Het aandeel DIMONA-berichten voor V.I. A in T4 jaar x bedraagt 8,33%.</w:t>
      </w:r>
    </w:p>
    <w:p w14:paraId="21D0EEBB" w14:textId="77777777" w:rsidR="00AE366D" w:rsidRPr="00E578B7" w:rsidRDefault="00AE366D" w:rsidP="00AE366D">
      <w:pPr>
        <w:rPr>
          <w:lang w:val="nl-NL"/>
        </w:rPr>
      </w:pPr>
      <w:r w:rsidRPr="00E578B7">
        <w:rPr>
          <w:lang w:val="nl-NL"/>
        </w:rPr>
        <w:t>In maart X+1 verwacht het RIZIV van het NIC de rapportering voor de DIMONA-berichten verzonden van 1</w:t>
      </w:r>
      <w:r>
        <w:rPr>
          <w:lang w:val="nl-NL"/>
        </w:rPr>
        <w:t>-</w:t>
      </w:r>
      <w:r w:rsidRPr="00E578B7">
        <w:rPr>
          <w:lang w:val="nl-NL"/>
        </w:rPr>
        <w:t>1</w:t>
      </w:r>
      <w:r>
        <w:rPr>
          <w:lang w:val="nl-NL"/>
        </w:rPr>
        <w:t>-</w:t>
      </w:r>
      <w:r w:rsidRPr="00E578B7">
        <w:rPr>
          <w:lang w:val="nl-NL"/>
        </w:rPr>
        <w:t>X tot en met 31</w:t>
      </w:r>
      <w:r>
        <w:rPr>
          <w:lang w:val="nl-NL"/>
        </w:rPr>
        <w:t>-</w:t>
      </w:r>
      <w:r w:rsidRPr="00E578B7">
        <w:rPr>
          <w:lang w:val="nl-NL"/>
        </w:rPr>
        <w:t>12</w:t>
      </w:r>
      <w:r>
        <w:rPr>
          <w:lang w:val="nl-NL"/>
        </w:rPr>
        <w:t>-</w:t>
      </w:r>
      <w:r w:rsidRPr="00E578B7">
        <w:rPr>
          <w:lang w:val="nl-NL"/>
        </w:rPr>
        <w:t>X.</w:t>
      </w:r>
    </w:p>
    <w:p w14:paraId="67633D7E" w14:textId="77777777" w:rsidR="00AE366D" w:rsidRPr="00E578B7" w:rsidRDefault="00AE366D" w:rsidP="00AE366D">
      <w:pPr>
        <w:jc w:val="both"/>
        <w:rPr>
          <w:lang w:val="nl-NL"/>
        </w:rPr>
      </w:pPr>
      <w:r w:rsidRPr="00115EC5">
        <w:rPr>
          <w:lang w:val="nl-NL"/>
        </w:rPr>
        <w:t>Uitzonderlijk wordt de rapportering voor de periodes 6-7-2022 tem 31-12-2022 en 01-01-2023 tem 31-12-2023 op 30 maart 2025 verwacht.</w:t>
      </w:r>
      <w:r w:rsidRPr="00E578B7">
        <w:rPr>
          <w:lang w:val="nl-NL"/>
        </w:rPr>
        <w:t xml:space="preserve"> De inwerkingtreding van de ambtshalve inschrijving op basis van een DIMONA-bericht dateert van 7 juli 2022 en op basis van de bijdragebons van 1 januari 2023. De idee is om (minstens) een eerste rapportering voor beide jaren mee te ontvangen in de rapportering van maart 2025. Voor deze jaren zijn ook al mogelijke regularisaties geweest.</w:t>
      </w:r>
    </w:p>
    <w:p w14:paraId="653B0880" w14:textId="77777777" w:rsidR="00AE366D" w:rsidRPr="00E578B7" w:rsidRDefault="00AE366D" w:rsidP="00AE366D">
      <w:pPr>
        <w:jc w:val="both"/>
        <w:rPr>
          <w:lang w:val="nl-NL"/>
        </w:rPr>
      </w:pPr>
      <w:r w:rsidRPr="00E578B7">
        <w:rPr>
          <w:lang w:val="nl-NL"/>
        </w:rPr>
        <w:t xml:space="preserve">Onderstaande tabel geeft de gevraagde rapportering weer: per V.I. wordt per kwartaal weergegeven hoeveel berichten uit de DIMONA-flux naar de V.I. </w:t>
      </w:r>
      <w:r>
        <w:rPr>
          <w:lang w:val="nl-NL"/>
        </w:rPr>
        <w:t>zijn</w:t>
      </w:r>
      <w:r w:rsidRPr="00E578B7">
        <w:rPr>
          <w:lang w:val="nl-NL"/>
        </w:rPr>
        <w:t xml:space="preserve"> doorgestuurd.</w:t>
      </w:r>
    </w:p>
    <w:p w14:paraId="24C20EC3" w14:textId="77777777" w:rsidR="00AE366D" w:rsidRPr="001B3E0A" w:rsidRDefault="00AE366D" w:rsidP="00AE366D">
      <w:pPr>
        <w:jc w:val="both"/>
        <w:rPr>
          <w:lang w:val="nl-NL"/>
        </w:rPr>
      </w:pPr>
      <w:r w:rsidRPr="00E578B7">
        <w:rPr>
          <w:lang w:val="nl-NL"/>
        </w:rPr>
        <w:t xml:space="preserve">Als de Filter aangepast is, zou het ook nuttig zijn een </w:t>
      </w:r>
      <w:r>
        <w:rPr>
          <w:lang w:val="nl-NL"/>
        </w:rPr>
        <w:t>cijfer</w:t>
      </w:r>
      <w:r w:rsidRPr="00E578B7">
        <w:rPr>
          <w:lang w:val="nl-NL"/>
        </w:rPr>
        <w:t xml:space="preserve"> te kunnen plakken op het aantal DIMOMA-berichten dat zij ontvangen van de RSZ voor dezelfde periode</w:t>
      </w:r>
      <w:r w:rsidRPr="001B3E0A">
        <w:rPr>
          <w:lang w:val="nl-NL"/>
        </w:rPr>
        <w:t>. De idee is om een beeld te krijgen van het aantal berichten die niet door de filter worden tegengehouden.</w:t>
      </w:r>
    </w:p>
    <w:p w14:paraId="43BD16C5" w14:textId="77777777" w:rsidR="00AE366D" w:rsidRPr="00113CC4" w:rsidRDefault="00AE366D" w:rsidP="00AE366D">
      <w:pPr>
        <w:pStyle w:val="Paragraphedeliste"/>
        <w:numPr>
          <w:ilvl w:val="1"/>
          <w:numId w:val="2"/>
        </w:numPr>
        <w:rPr>
          <w:b/>
          <w:bCs/>
          <w:color w:val="323E4F" w:themeColor="text2" w:themeShade="BF"/>
          <w:lang w:val="nl-NL"/>
        </w:rPr>
      </w:pPr>
      <w:r w:rsidRPr="00113CC4">
        <w:rPr>
          <w:b/>
          <w:bCs/>
          <w:color w:val="323E4F" w:themeColor="text2" w:themeShade="BF"/>
          <w:lang w:val="nl-NL"/>
        </w:rPr>
        <w:t>Cijfers vanuit de V.I.</w:t>
      </w:r>
    </w:p>
    <w:p w14:paraId="481F6BCB" w14:textId="77777777" w:rsidR="00AE366D" w:rsidRPr="001B3E0A" w:rsidRDefault="00AE366D" w:rsidP="00AE366D">
      <w:pPr>
        <w:jc w:val="both"/>
        <w:rPr>
          <w:lang w:val="nl-NL"/>
        </w:rPr>
      </w:pPr>
      <w:r w:rsidRPr="001B3E0A">
        <w:rPr>
          <w:lang w:val="nl-NL"/>
        </w:rPr>
        <w:t xml:space="preserve">Het grootste deel van de rapportering m.b.t. de ambtshalve inschrijving is afkomstig van de V.I. De V.I. zijn verantwoordelijk voor </w:t>
      </w:r>
      <w:r>
        <w:rPr>
          <w:lang w:val="nl-NL"/>
        </w:rPr>
        <w:t>het opstellen</w:t>
      </w:r>
      <w:r w:rsidRPr="001B3E0A">
        <w:rPr>
          <w:lang w:val="nl-NL"/>
        </w:rPr>
        <w:t xml:space="preserve"> en uitwisseling van geaggregeerde cijfers over:</w:t>
      </w:r>
    </w:p>
    <w:p w14:paraId="7877179F" w14:textId="77777777" w:rsidR="00AE366D" w:rsidRPr="001B3E0A" w:rsidRDefault="00AE366D" w:rsidP="00AE366D">
      <w:pPr>
        <w:pStyle w:val="Paragraphedeliste"/>
        <w:numPr>
          <w:ilvl w:val="0"/>
          <w:numId w:val="1"/>
        </w:numPr>
        <w:jc w:val="both"/>
        <w:rPr>
          <w:lang w:val="nl-NL"/>
        </w:rPr>
      </w:pPr>
      <w:r w:rsidRPr="001B3E0A">
        <w:rPr>
          <w:lang w:val="nl-NL"/>
        </w:rPr>
        <w:t>het gebruik en gevolg van de DIMONA-flux in het kader van de ambtshalve inschrijving</w:t>
      </w:r>
    </w:p>
    <w:p w14:paraId="0BD2168A" w14:textId="77777777" w:rsidR="00AE366D" w:rsidRPr="001B3E0A" w:rsidRDefault="00AE366D" w:rsidP="00AE366D">
      <w:pPr>
        <w:pStyle w:val="Paragraphedeliste"/>
        <w:numPr>
          <w:ilvl w:val="0"/>
          <w:numId w:val="1"/>
        </w:numPr>
        <w:jc w:val="both"/>
        <w:rPr>
          <w:lang w:val="nl-NL"/>
        </w:rPr>
      </w:pPr>
      <w:r w:rsidRPr="001B3E0A">
        <w:rPr>
          <w:lang w:val="nl-NL"/>
        </w:rPr>
        <w:t>het gebruik en gevolg van de bijdragebons</w:t>
      </w:r>
      <w:r w:rsidRPr="001B3E0A">
        <w:rPr>
          <w:rStyle w:val="Appelnotedebasdep"/>
          <w:lang w:val="nl-NL"/>
        </w:rPr>
        <w:footnoteReference w:id="3"/>
      </w:r>
      <w:r w:rsidRPr="001B3E0A">
        <w:rPr>
          <w:lang w:val="nl-NL"/>
        </w:rPr>
        <w:t xml:space="preserve"> als basis van ambtshalve inschrijving</w:t>
      </w:r>
    </w:p>
    <w:p w14:paraId="15B775A4" w14:textId="77777777" w:rsidR="00AE366D" w:rsidRPr="001B3E0A" w:rsidRDefault="00AE366D" w:rsidP="00AE366D">
      <w:pPr>
        <w:pStyle w:val="Paragraphedeliste"/>
        <w:numPr>
          <w:ilvl w:val="0"/>
          <w:numId w:val="1"/>
        </w:numPr>
        <w:jc w:val="both"/>
        <w:rPr>
          <w:lang w:val="nl-NL"/>
        </w:rPr>
      </w:pPr>
      <w:r w:rsidRPr="001B3E0A">
        <w:rPr>
          <w:lang w:val="nl-NL"/>
        </w:rPr>
        <w:t>regularisaties na ambtshalve inschrijving</w:t>
      </w:r>
    </w:p>
    <w:p w14:paraId="3A28CF53" w14:textId="77777777" w:rsidR="00AE366D" w:rsidRPr="001B3E0A" w:rsidRDefault="00AE366D" w:rsidP="00AE366D">
      <w:pPr>
        <w:pStyle w:val="Paragraphedeliste"/>
        <w:numPr>
          <w:ilvl w:val="0"/>
          <w:numId w:val="1"/>
        </w:numPr>
        <w:jc w:val="both"/>
        <w:rPr>
          <w:lang w:val="nl-NL"/>
        </w:rPr>
      </w:pPr>
      <w:r w:rsidRPr="001B3E0A">
        <w:rPr>
          <w:lang w:val="nl-NL"/>
        </w:rPr>
        <w:t>mutaties na ambtshalve inschrijving</w:t>
      </w:r>
      <w:r>
        <w:rPr>
          <w:lang w:val="nl-NL"/>
        </w:rPr>
        <w:t>.</w:t>
      </w:r>
    </w:p>
    <w:p w14:paraId="4AA66636" w14:textId="77777777" w:rsidR="00AE366D" w:rsidRDefault="00AE366D" w:rsidP="00AE366D">
      <w:pPr>
        <w:jc w:val="both"/>
        <w:rPr>
          <w:lang w:val="nl-NL"/>
        </w:rPr>
      </w:pPr>
      <w:r w:rsidRPr="001B3E0A">
        <w:rPr>
          <w:lang w:val="nl-NL"/>
        </w:rPr>
        <w:t xml:space="preserve">De lay-out van deze rapporten wordt weergegeven in bijlage 2 tot </w:t>
      </w:r>
      <w:r>
        <w:rPr>
          <w:lang w:val="nl-NL"/>
        </w:rPr>
        <w:t>6</w:t>
      </w:r>
      <w:r w:rsidRPr="001B3E0A">
        <w:rPr>
          <w:lang w:val="nl-NL"/>
        </w:rPr>
        <w:t xml:space="preserve">. </w:t>
      </w:r>
    </w:p>
    <w:p w14:paraId="1E8DABE4" w14:textId="77777777" w:rsidR="00AE366D" w:rsidRDefault="00AE366D" w:rsidP="00AE366D">
      <w:pPr>
        <w:jc w:val="both"/>
        <w:rPr>
          <w:lang w:val="nl-NL"/>
        </w:rPr>
      </w:pPr>
    </w:p>
    <w:p w14:paraId="1AA15E98" w14:textId="77777777" w:rsidR="00AE366D" w:rsidRDefault="00AE366D" w:rsidP="00AE366D">
      <w:pPr>
        <w:jc w:val="both"/>
        <w:rPr>
          <w:lang w:val="nl-NL"/>
        </w:rPr>
      </w:pPr>
    </w:p>
    <w:p w14:paraId="6CAC1542" w14:textId="77777777" w:rsidR="00AE366D" w:rsidRPr="00A55E75" w:rsidRDefault="00AE366D" w:rsidP="00AE366D">
      <w:pPr>
        <w:jc w:val="both"/>
        <w:rPr>
          <w:lang w:val="nl-BE"/>
        </w:rPr>
      </w:pPr>
      <w:r w:rsidRPr="00A55E75">
        <w:rPr>
          <w:lang w:val="nl-BE"/>
        </w:rPr>
        <w:lastRenderedPageBreak/>
        <w:t xml:space="preserve">De rapporten voor onderwerpingsjaar YYYY worden dus meer dan 1 keer doorgegeven: </w:t>
      </w:r>
    </w:p>
    <w:p w14:paraId="20B8778B" w14:textId="77777777" w:rsidR="00AE366D" w:rsidRPr="00754FEF" w:rsidRDefault="00AE366D" w:rsidP="00AE366D">
      <w:pPr>
        <w:pStyle w:val="Paragraphedeliste"/>
        <w:numPr>
          <w:ilvl w:val="0"/>
          <w:numId w:val="1"/>
        </w:numPr>
        <w:jc w:val="both"/>
        <w:rPr>
          <w:lang w:val="nl-BE"/>
        </w:rPr>
      </w:pPr>
      <w:r w:rsidRPr="00754FEF">
        <w:rPr>
          <w:lang w:val="nl-BE"/>
        </w:rPr>
        <w:t>Het gebruik en gevolg van de DIMONA-flux in het kader van de ambtshalve inschrijving (beschreven in bijlage 2): 2 versies per tewerkstellingsjaar, namelijk een versie met de DIMONA-berichten ontvangen in het jaar van onderwerping en deze ontvangen in het jaar volgend op de onderwerping.</w:t>
      </w:r>
    </w:p>
    <w:p w14:paraId="5FCEDEFE" w14:textId="77777777" w:rsidR="00AE366D" w:rsidRPr="00754FEF" w:rsidRDefault="00AE366D" w:rsidP="00AE366D">
      <w:pPr>
        <w:pStyle w:val="Paragraphedeliste"/>
        <w:numPr>
          <w:ilvl w:val="0"/>
          <w:numId w:val="1"/>
        </w:numPr>
        <w:jc w:val="both"/>
        <w:rPr>
          <w:lang w:val="nl-BE"/>
        </w:rPr>
      </w:pPr>
      <w:bookmarkStart w:id="1" w:name="_Hlk176176373"/>
      <w:r w:rsidRPr="00754FEF">
        <w:rPr>
          <w:lang w:val="nl-BE"/>
        </w:rPr>
        <w:t xml:space="preserve">Het gebruik en gevolg van de bijdragebons als basis van ambtshalve inschrijving (beschreven in bijlage 3): </w:t>
      </w:r>
      <w:r w:rsidRPr="00A731EF">
        <w:rPr>
          <w:lang w:val="nl-BE"/>
        </w:rPr>
        <w:t xml:space="preserve">3 </w:t>
      </w:r>
      <w:r w:rsidRPr="00754FEF">
        <w:rPr>
          <w:lang w:val="nl-BE"/>
        </w:rPr>
        <w:t>versies per tewerkstellingsjaar, namelijk vanaf het jaar na</w:t>
      </w:r>
      <w:r>
        <w:rPr>
          <w:lang w:val="nl-BE"/>
        </w:rPr>
        <w:t xml:space="preserve"> </w:t>
      </w:r>
      <w:r w:rsidRPr="00754FEF">
        <w:rPr>
          <w:lang w:val="nl-BE"/>
        </w:rPr>
        <w:t>ontvangst van de DIMONA-berichten (kan gelijk zijn aan het jaar tewerkstelling) en het jaar hierop volgend.</w:t>
      </w:r>
    </w:p>
    <w:p w14:paraId="1E4DABC3" w14:textId="77777777" w:rsidR="00AE366D" w:rsidRPr="00754FEF" w:rsidRDefault="00AE366D" w:rsidP="00AE366D">
      <w:pPr>
        <w:pStyle w:val="Paragraphedeliste"/>
        <w:numPr>
          <w:ilvl w:val="0"/>
          <w:numId w:val="1"/>
        </w:numPr>
        <w:jc w:val="both"/>
        <w:rPr>
          <w:lang w:val="nl-BE"/>
        </w:rPr>
      </w:pPr>
      <w:r w:rsidRPr="00754FEF">
        <w:rPr>
          <w:lang w:val="nl-BE"/>
        </w:rPr>
        <w:t xml:space="preserve">De regularisaties na ambtshalve inschrijving (beschreven in bijlage 4): </w:t>
      </w:r>
      <w:r w:rsidRPr="00A731EF">
        <w:rPr>
          <w:lang w:val="nl-BE"/>
        </w:rPr>
        <w:t xml:space="preserve">3 </w:t>
      </w:r>
      <w:r w:rsidRPr="00754FEF">
        <w:rPr>
          <w:lang w:val="nl-BE"/>
        </w:rPr>
        <w:t>versies per tewerkstellingsjaar, namelijk vanaf het jaar na ontvangst van de DIMONA-berichten (kan gelijk zijn aan het jaar tewerkstelling) en het jaar hierop volgend.</w:t>
      </w:r>
    </w:p>
    <w:bookmarkEnd w:id="1"/>
    <w:p w14:paraId="24C32A7D" w14:textId="77777777" w:rsidR="00AE366D" w:rsidRPr="00754FEF" w:rsidRDefault="00AE366D" w:rsidP="00AE366D">
      <w:pPr>
        <w:pStyle w:val="Paragraphedeliste"/>
        <w:numPr>
          <w:ilvl w:val="0"/>
          <w:numId w:val="1"/>
        </w:numPr>
        <w:jc w:val="both"/>
        <w:rPr>
          <w:lang w:val="nl-BE"/>
        </w:rPr>
      </w:pPr>
      <w:r w:rsidRPr="00754FEF">
        <w:rPr>
          <w:lang w:val="nl-BE"/>
        </w:rPr>
        <w:t>Mutaties na ambtshalve inschrijving (beschreven in bijlage 5): 2 versies per tewerkstellingsjaar, namelijk het jaar na de ambtshalve inschrijving in het jaar van de start van de tewerkstelling én het jaar nadien</w:t>
      </w:r>
    </w:p>
    <w:p w14:paraId="6E41BE4C" w14:textId="77777777" w:rsidR="00AE366D" w:rsidRPr="00E578B7" w:rsidRDefault="00AE366D" w:rsidP="00AE366D">
      <w:pPr>
        <w:pStyle w:val="Paragraphedeliste"/>
        <w:numPr>
          <w:ilvl w:val="0"/>
          <w:numId w:val="1"/>
        </w:numPr>
        <w:jc w:val="both"/>
        <w:rPr>
          <w:lang w:val="nl-BE"/>
        </w:rPr>
      </w:pPr>
      <w:r w:rsidRPr="00754FEF">
        <w:rPr>
          <w:lang w:val="nl-BE"/>
        </w:rPr>
        <w:t>De gemiddelde doorlooptijd tussen ontvangst</w:t>
      </w:r>
      <w:r w:rsidRPr="00E578B7">
        <w:rPr>
          <w:lang w:val="nl-BE"/>
        </w:rPr>
        <w:t xml:space="preserve"> DIMONA-bericht en de contact</w:t>
      </w:r>
      <w:r>
        <w:rPr>
          <w:lang w:val="nl-BE"/>
        </w:rPr>
        <w:t>op</w:t>
      </w:r>
      <w:r w:rsidRPr="00E578B7">
        <w:rPr>
          <w:lang w:val="nl-BE"/>
        </w:rPr>
        <w:t>name (bijlage 6): 2 versies per tewerkstellingsjaar, namelijk een versie met de DIMONA-berichten ontvangen in het jaar van onderwerping en deze ontvangen in het jaar volgend op de onderwerping.</w:t>
      </w:r>
    </w:p>
    <w:p w14:paraId="6B2E4EFC" w14:textId="77777777" w:rsidR="00AE366D" w:rsidRDefault="00AE366D" w:rsidP="00AE366D">
      <w:pPr>
        <w:jc w:val="both"/>
        <w:rPr>
          <w:lang w:val="nl-NL"/>
        </w:rPr>
      </w:pPr>
      <w:r w:rsidRPr="001B3E0A">
        <w:rPr>
          <w:lang w:val="nl-NL"/>
        </w:rPr>
        <w:t xml:space="preserve">De verschillende gevraagde cijfers krijgen een lettercode. </w:t>
      </w:r>
    </w:p>
    <w:p w14:paraId="6A99109B" w14:textId="77777777" w:rsidR="00AE366D" w:rsidRPr="001B3E0A" w:rsidRDefault="00AE366D" w:rsidP="00AE366D">
      <w:pPr>
        <w:pStyle w:val="Paragraphedeliste"/>
        <w:numPr>
          <w:ilvl w:val="0"/>
          <w:numId w:val="2"/>
        </w:numPr>
        <w:jc w:val="both"/>
        <w:rPr>
          <w:b/>
          <w:bCs/>
          <w:sz w:val="24"/>
          <w:szCs w:val="24"/>
          <w:lang w:val="nl-NL"/>
        </w:rPr>
      </w:pPr>
      <w:r w:rsidRPr="001B3E0A">
        <w:rPr>
          <w:b/>
          <w:bCs/>
          <w:sz w:val="24"/>
          <w:szCs w:val="24"/>
          <w:lang w:val="nl-NL"/>
        </w:rPr>
        <w:t>De gegevensuitwisseling: procedure</w:t>
      </w:r>
    </w:p>
    <w:p w14:paraId="0D1EFC47" w14:textId="77777777" w:rsidR="00AE366D" w:rsidRPr="001B3E0A" w:rsidRDefault="00AE366D" w:rsidP="00AE366D">
      <w:pPr>
        <w:jc w:val="both"/>
        <w:rPr>
          <w:lang w:val="nl-BE"/>
        </w:rPr>
      </w:pPr>
      <w:r w:rsidRPr="001B3E0A">
        <w:rPr>
          <w:lang w:val="nl-BE"/>
        </w:rPr>
        <w:t xml:space="preserve">De Directie ACCES van de DAC zal instaan voor het samenvoegen van de cijfers van de V.I. tot algemene cijfers. De cijfers worden verzonden naar de volgende emailadressen: </w:t>
      </w:r>
      <w:hyperlink r:id="rId13" w:history="1">
        <w:r w:rsidRPr="001B3E0A">
          <w:rPr>
            <w:rStyle w:val="Lienhypertexte"/>
            <w:lang w:val="nl-BE"/>
          </w:rPr>
          <w:t>dac-acces@riziv-inami.fgov.be</w:t>
        </w:r>
      </w:hyperlink>
      <w:r w:rsidRPr="001B3E0A">
        <w:rPr>
          <w:lang w:val="nl-BE"/>
        </w:rPr>
        <w:t xml:space="preserve">  en </w:t>
      </w:r>
      <w:r>
        <w:fldChar w:fldCharType="begin"/>
      </w:r>
      <w:r>
        <w:fldChar w:fldCharType="separate"/>
      </w:r>
      <w:r w:rsidRPr="001B3E0A">
        <w:rPr>
          <w:rStyle w:val="Lienhypertexte"/>
          <w:lang w:val="nl-BE"/>
        </w:rPr>
        <w:t>Jur_Reg@riziv-inami.gfov.be</w:t>
      </w:r>
      <w:r>
        <w:rPr>
          <w:rStyle w:val="Lienhypertexte"/>
          <w:lang w:val="nl-BE"/>
        </w:rPr>
        <w:fldChar w:fldCharType="end"/>
      </w:r>
      <w:r>
        <w:rPr>
          <w:rStyle w:val="Lienhypertexte"/>
          <w:lang w:val="nl-BE"/>
        </w:rPr>
        <w:t>Jur_Reg@riziv-inami.fgov.be</w:t>
      </w:r>
    </w:p>
    <w:p w14:paraId="78C0EDD5" w14:textId="77777777" w:rsidR="00AE366D" w:rsidRPr="001B3E0A" w:rsidRDefault="00AE366D" w:rsidP="00AE366D">
      <w:pPr>
        <w:jc w:val="both"/>
        <w:rPr>
          <w:lang w:val="nl-BE"/>
        </w:rPr>
      </w:pPr>
      <w:r w:rsidRPr="001B3E0A">
        <w:rPr>
          <w:lang w:val="nl-NL"/>
        </w:rPr>
        <w:t>De V.I. 900 is uitgesloten van de procedure van de ambtshalve inschrijving op basis van een DIMONA-bericht, dus ook van deze rapportering beschreven in deze omzendbrief.</w:t>
      </w:r>
    </w:p>
    <w:p w14:paraId="1C70ED81" w14:textId="77777777" w:rsidR="00AE366D" w:rsidRPr="001B3E0A" w:rsidRDefault="00AE366D" w:rsidP="00AE366D">
      <w:pPr>
        <w:pStyle w:val="Paragraphedeliste"/>
        <w:numPr>
          <w:ilvl w:val="0"/>
          <w:numId w:val="2"/>
        </w:numPr>
        <w:jc w:val="both"/>
        <w:rPr>
          <w:b/>
          <w:bCs/>
          <w:sz w:val="24"/>
          <w:szCs w:val="24"/>
          <w:lang w:val="nl-NL"/>
        </w:rPr>
      </w:pPr>
      <w:r w:rsidRPr="001B3E0A">
        <w:rPr>
          <w:b/>
          <w:bCs/>
          <w:sz w:val="24"/>
          <w:szCs w:val="24"/>
          <w:lang w:val="nl-NL"/>
        </w:rPr>
        <w:t>Inwerkingtreding</w:t>
      </w:r>
    </w:p>
    <w:p w14:paraId="335441B6" w14:textId="77777777" w:rsidR="00AE366D" w:rsidRPr="001B3E0A" w:rsidRDefault="00AE366D" w:rsidP="00AE366D">
      <w:pPr>
        <w:jc w:val="both"/>
        <w:rPr>
          <w:rFonts w:cs="Arial"/>
          <w:lang w:val="nl-BE"/>
        </w:rPr>
      </w:pPr>
      <w:r w:rsidRPr="001B3E0A">
        <w:rPr>
          <w:rFonts w:cs="Arial"/>
          <w:lang w:val="nl-BE"/>
        </w:rPr>
        <w:t>Deze omzendbrief geldt voor de uitwisseling van de statistische rapporten over de ambtshalve inschrijving van gerechtigden in de hoedanigheid van loontrekkende op basis van de DIMONA-flux en bijdragebons bedoeld in artikel 252 van het K.B. van 3 juli 1996 vanaf 2024.</w:t>
      </w:r>
    </w:p>
    <w:p w14:paraId="71C9004B" w14:textId="77777777" w:rsidR="00947EAC" w:rsidRPr="00AE366D" w:rsidRDefault="00947EAC" w:rsidP="00A80F56">
      <w:pPr>
        <w:rPr>
          <w:lang w:val="nl-BE"/>
        </w:rPr>
      </w:pP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AE366D"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AE366D"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5">
                      <w:r w:rsidR="00DC2C75">
                        <w:rPr>
                          <w:rStyle w:val="Lienhypertexte"/>
                          <w:rFonts w:ascii="Arial" w:hAnsi="Arial" w:cs="Arial"/>
                          <w:sz w:val="18"/>
                          <w:szCs w:val="18"/>
                        </w:rPr>
                        <w:t>Bijlage 1_ rapportage NIC.docx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932538"/>
          <w:placeholder>
            <w:docPart w:val="574F8A8B89E141A79FF87FE76A621377"/>
          </w:placeholder>
        </w:sdtPr>
        <w:sdtEndPr>
          <w:rPr>
            <w:rStyle w:val="Policepardfaut"/>
            <w:color w:val="auto"/>
            <w:u w:val="none"/>
          </w:rPr>
        </w:sdtEndPr>
        <w:sdtContent>
          <w:tr w:rsidR="00F74688" w:rsidRPr="00AE366D" w14:paraId="15BD0FAD" w14:textId="77777777" w:rsidTr="00452BF0">
            <w:trPr>
              <w:trHeight w:val="323"/>
            </w:trPr>
            <w:tc>
              <w:tcPr>
                <w:tcW w:w="5385" w:type="dxa"/>
                <w:tcBorders>
                  <w:top w:val="nil"/>
                  <w:left w:val="nil"/>
                  <w:bottom w:val="nil"/>
                  <w:right w:val="nil"/>
                </w:tcBorders>
              </w:tcPr>
              <w:p w14:paraId="69950A67" w14:textId="77777777" w:rsidR="00F74688" w:rsidRPr="00AE366D" w:rsidRDefault="00AE366D"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273101"/>
                    <w:placeholder>
                      <w:docPart w:val="B239B9727AF4485D841274C5EE4347C9"/>
                    </w:placeholder>
                  </w:sdtPr>
                  <w:sdtEndPr>
                    <w:rPr>
                      <w:rStyle w:val="Policepardfaut"/>
                      <w:color w:val="FFFFFF" w:themeColor="background1"/>
                      <w:u w:val="none"/>
                    </w:rPr>
                  </w:sdtEndPr>
                  <w:sdtContent>
                    <w:hyperlink r:id="rId16">
                      <w:r w:rsidR="00DC2C75" w:rsidRPr="00AE366D">
                        <w:rPr>
                          <w:rStyle w:val="Lienhypertexte"/>
                          <w:rFonts w:ascii="Arial" w:hAnsi="Arial" w:cs="Arial"/>
                          <w:sz w:val="18"/>
                          <w:szCs w:val="18"/>
                          <w:lang w:val="nl-NL"/>
                        </w:rPr>
                        <w:t>Bijlage 2_ Rapportage V.I._gebruik &amp; gevolgen van de DIMONA.docx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416818"/>
          <w:placeholder>
            <w:docPart w:val="574F8A8B89E141A79FF87FE76A621377"/>
          </w:placeholder>
        </w:sdtPr>
        <w:sdtEndPr>
          <w:rPr>
            <w:rStyle w:val="Policepardfaut"/>
            <w:color w:val="auto"/>
            <w:u w:val="none"/>
          </w:rPr>
        </w:sdtEndPr>
        <w:sdtContent>
          <w:tr w:rsidR="00F74688" w:rsidRPr="00AE366D" w14:paraId="0AC4048F" w14:textId="77777777" w:rsidTr="00452BF0">
            <w:trPr>
              <w:trHeight w:val="323"/>
            </w:trPr>
            <w:tc>
              <w:tcPr>
                <w:tcW w:w="5385" w:type="dxa"/>
                <w:tcBorders>
                  <w:top w:val="nil"/>
                  <w:left w:val="nil"/>
                  <w:bottom w:val="nil"/>
                  <w:right w:val="nil"/>
                </w:tcBorders>
              </w:tcPr>
              <w:p w14:paraId="110F15CD" w14:textId="77777777" w:rsidR="00F74688" w:rsidRPr="00AE366D" w:rsidRDefault="00AE366D"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044413"/>
                    <w:placeholder>
                      <w:docPart w:val="B239B9727AF4485D841274C5EE4347C9"/>
                    </w:placeholder>
                  </w:sdtPr>
                  <w:sdtEndPr>
                    <w:rPr>
                      <w:rStyle w:val="Policepardfaut"/>
                      <w:color w:val="FFFFFF" w:themeColor="background1"/>
                      <w:u w:val="none"/>
                    </w:rPr>
                  </w:sdtEndPr>
                  <w:sdtContent>
                    <w:hyperlink r:id="rId17">
                      <w:r w:rsidR="00DC2C75" w:rsidRPr="00AE366D">
                        <w:rPr>
                          <w:rStyle w:val="Lienhypertexte"/>
                          <w:rFonts w:ascii="Arial" w:hAnsi="Arial" w:cs="Arial"/>
                          <w:sz w:val="18"/>
                          <w:szCs w:val="18"/>
                          <w:lang w:val="nl-NL"/>
                        </w:rPr>
                        <w:t>Bijlage 3_ Rapportage V.I._gebruik &amp; gevolgen van de Bijdragebons i.k.v een ambtshalve inschrijving.docx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503768"/>
          <w:placeholder>
            <w:docPart w:val="574F8A8B89E141A79FF87FE76A621377"/>
          </w:placeholder>
        </w:sdtPr>
        <w:sdtEndPr>
          <w:rPr>
            <w:rStyle w:val="Policepardfaut"/>
            <w:color w:val="auto"/>
            <w:u w:val="none"/>
          </w:rPr>
        </w:sdtEndPr>
        <w:sdtContent>
          <w:tr w:rsidR="00F74688" w:rsidRPr="00285AC1" w14:paraId="30D0CAEA" w14:textId="77777777" w:rsidTr="00452BF0">
            <w:trPr>
              <w:trHeight w:val="323"/>
            </w:trPr>
            <w:tc>
              <w:tcPr>
                <w:tcW w:w="5385" w:type="dxa"/>
                <w:tcBorders>
                  <w:top w:val="nil"/>
                  <w:left w:val="nil"/>
                  <w:bottom w:val="nil"/>
                  <w:right w:val="nil"/>
                </w:tcBorders>
              </w:tcPr>
              <w:p w14:paraId="1CEFA670" w14:textId="77777777" w:rsidR="00F74688" w:rsidRPr="00285AC1" w:rsidRDefault="00AE366D"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777167476"/>
                    <w:placeholder>
                      <w:docPart w:val="B239B9727AF4485D841274C5EE4347C9"/>
                    </w:placeholder>
                  </w:sdtPr>
                  <w:sdtEndPr>
                    <w:rPr>
                      <w:rStyle w:val="Policepardfaut"/>
                      <w:color w:val="FFFFFF" w:themeColor="background1"/>
                      <w:u w:val="none"/>
                    </w:rPr>
                  </w:sdtEndPr>
                  <w:sdtContent>
                    <w:hyperlink r:id="rId18">
                      <w:r w:rsidR="00DC2C75">
                        <w:rPr>
                          <w:rStyle w:val="Lienhypertexte"/>
                          <w:rFonts w:ascii="Arial" w:hAnsi="Arial" w:cs="Arial"/>
                          <w:sz w:val="18"/>
                          <w:szCs w:val="18"/>
                        </w:rPr>
                        <w:t>Bijlage 4_ Rapportering V.I._regularisaties .docx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337595"/>
          <w:placeholder>
            <w:docPart w:val="574F8A8B89E141A79FF87FE76A621377"/>
          </w:placeholder>
        </w:sdtPr>
        <w:sdtEndPr>
          <w:rPr>
            <w:rStyle w:val="Policepardfaut"/>
            <w:color w:val="auto"/>
            <w:u w:val="none"/>
          </w:rPr>
        </w:sdtEndPr>
        <w:sdtContent>
          <w:tr w:rsidR="00F74688" w:rsidRPr="00AE366D" w14:paraId="451A6CC2" w14:textId="77777777" w:rsidTr="00452BF0">
            <w:trPr>
              <w:trHeight w:val="323"/>
            </w:trPr>
            <w:tc>
              <w:tcPr>
                <w:tcW w:w="5385" w:type="dxa"/>
                <w:tcBorders>
                  <w:top w:val="nil"/>
                  <w:left w:val="nil"/>
                  <w:bottom w:val="nil"/>
                  <w:right w:val="nil"/>
                </w:tcBorders>
              </w:tcPr>
              <w:p w14:paraId="55053DA3" w14:textId="77777777" w:rsidR="00F74688" w:rsidRPr="00AE366D" w:rsidRDefault="00AE366D"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977324"/>
                    <w:placeholder>
                      <w:docPart w:val="B239B9727AF4485D841274C5EE4347C9"/>
                    </w:placeholder>
                  </w:sdtPr>
                  <w:sdtEndPr>
                    <w:rPr>
                      <w:rStyle w:val="Policepardfaut"/>
                      <w:color w:val="FFFFFF" w:themeColor="background1"/>
                      <w:u w:val="none"/>
                    </w:rPr>
                  </w:sdtEndPr>
                  <w:sdtContent>
                    <w:hyperlink r:id="rId19">
                      <w:r w:rsidR="00DC2C75" w:rsidRPr="00AE366D">
                        <w:rPr>
                          <w:rStyle w:val="Lienhypertexte"/>
                          <w:rFonts w:ascii="Arial" w:hAnsi="Arial" w:cs="Arial"/>
                          <w:sz w:val="18"/>
                          <w:szCs w:val="18"/>
                          <w:lang w:val="nl-NL"/>
                        </w:rPr>
                        <w:t>Bijlage 5_ Rapportering V.I._mutaties na ambtshalve inschrijving.docx</w:t>
                      </w:r>
                    </w:hyperlink>
                  </w:sdtContent>
                </w:sdt>
              </w:p>
            </w:tc>
          </w:tr>
        </w:sdtContent>
      </w:sdt>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777257742"/>
          <w:placeholder>
            <w:docPart w:val="574F8A8B89E141A79FF87FE76A621377"/>
          </w:placeholder>
        </w:sdtPr>
        <w:sdtEndPr>
          <w:rPr>
            <w:rStyle w:val="Policepardfaut"/>
            <w:color w:val="auto"/>
            <w:u w:val="none"/>
          </w:rPr>
        </w:sdtEndPr>
        <w:sdtContent>
          <w:tr w:rsidR="00F74688" w:rsidRPr="00AE366D" w14:paraId="08A8AAAE" w14:textId="77777777" w:rsidTr="00452BF0">
            <w:trPr>
              <w:trHeight w:val="323"/>
            </w:trPr>
            <w:tc>
              <w:tcPr>
                <w:tcW w:w="5385" w:type="dxa"/>
                <w:tcBorders>
                  <w:top w:val="nil"/>
                  <w:left w:val="nil"/>
                  <w:bottom w:val="nil"/>
                  <w:right w:val="nil"/>
                </w:tcBorders>
              </w:tcPr>
              <w:p w14:paraId="21CB2073" w14:textId="77777777" w:rsidR="00F74688" w:rsidRPr="00AE366D" w:rsidRDefault="00AE366D" w:rsidP="003B2690">
                <w:pPr>
                  <w:rPr>
                    <w:rFonts w:ascii="Arial" w:hAnsi="Arial" w:cs="Arial"/>
                    <w:b/>
                    <w:bCs/>
                    <w:sz w:val="18"/>
                    <w:szCs w:val="18"/>
                    <w:lang w:val="nl-NL"/>
                  </w:rPr>
                </w:pPr>
                <w:sdt>
                  <w:sdtPr>
                    <w:rPr>
                      <w:rStyle w:val="HL"/>
                      <w:rFonts w:ascii="Arial" w:hAnsi="Arial" w:cs="Arial"/>
                      <w:sz w:val="18"/>
                      <w:szCs w:val="18"/>
                    </w:rPr>
                    <w:alias w:val="Hyperlink(ItemUrl;LinkFilename)"/>
                    <w:tag w:val="Hyperlink(ItemUrl;LinkFilename)"/>
                    <w:id w:val="777829478"/>
                    <w:placeholder>
                      <w:docPart w:val="B239B9727AF4485D841274C5EE4347C9"/>
                    </w:placeholder>
                  </w:sdtPr>
                  <w:sdtEndPr>
                    <w:rPr>
                      <w:rStyle w:val="Policepardfaut"/>
                      <w:color w:val="FFFFFF" w:themeColor="background1"/>
                      <w:u w:val="none"/>
                    </w:rPr>
                  </w:sdtEndPr>
                  <w:sdtContent>
                    <w:hyperlink r:id="rId20">
                      <w:r w:rsidR="00DC2C75" w:rsidRPr="00AE366D">
                        <w:rPr>
                          <w:rStyle w:val="Lienhypertexte"/>
                          <w:rFonts w:ascii="Arial" w:hAnsi="Arial" w:cs="Arial"/>
                          <w:sz w:val="18"/>
                          <w:szCs w:val="18"/>
                          <w:lang w:val="nl-NL"/>
                        </w:rPr>
                        <w:t>Bijlage 6_  Doorlooptijd ontvangst DIMONA-Bericht - Contactname verzekerden.docx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AE366D"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AE366D">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4269A069" w14:textId="77777777" w:rsidR="00AE366D" w:rsidRPr="00180598" w:rsidRDefault="00AE366D" w:rsidP="00AE366D">
      <w:pPr>
        <w:pStyle w:val="Notedebasdepage"/>
        <w:rPr>
          <w:lang w:val="nl-NL"/>
        </w:rPr>
      </w:pPr>
      <w:r>
        <w:rPr>
          <w:rStyle w:val="Appelnotedebasdep"/>
        </w:rPr>
        <w:footnoteRef/>
      </w:r>
      <w:r w:rsidRPr="00180598">
        <w:rPr>
          <w:lang w:val="nl-NL"/>
        </w:rPr>
        <w:t xml:space="preserve"> </w:t>
      </w:r>
      <w:r>
        <w:rPr>
          <w:lang w:val="nl-NL"/>
        </w:rPr>
        <w:t>In het verslag wordt naar het jaar van indiensttreding verwezen met de afgekorte uitdrukking “jaar van indiensttreding YYYY”</w:t>
      </w:r>
    </w:p>
  </w:footnote>
  <w:footnote w:id="3">
    <w:p w14:paraId="693BA5F2" w14:textId="77777777" w:rsidR="00AE366D" w:rsidRPr="00A15750" w:rsidRDefault="00AE366D" w:rsidP="00AE366D">
      <w:pPr>
        <w:pStyle w:val="Notedebasdepage"/>
        <w:jc w:val="both"/>
        <w:rPr>
          <w:lang w:val="nl-NL"/>
        </w:rPr>
      </w:pPr>
      <w:r w:rsidRPr="00364960">
        <w:rPr>
          <w:rStyle w:val="Appelnotedebasdep"/>
          <w:sz w:val="18"/>
          <w:szCs w:val="18"/>
        </w:rPr>
        <w:footnoteRef/>
      </w:r>
      <w:r w:rsidRPr="00364960">
        <w:rPr>
          <w:sz w:val="18"/>
          <w:szCs w:val="18"/>
          <w:lang w:val="nl-NL"/>
        </w:rPr>
        <w:t xml:space="preserve"> Bij de ambtshalve inschrijving op basis van een bijdragebon werden alle bewijsstukken om de situatie te regulariseren als gerechtige geglobaliseerd.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84566"/>
    <w:multiLevelType w:val="multilevel"/>
    <w:tmpl w:val="F4F0587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bCs/>
        <w:color w:val="323E4F" w:themeColor="text2" w:themeShade="BF"/>
        <w:sz w:val="22"/>
      </w:rPr>
    </w:lvl>
    <w:lvl w:ilvl="2">
      <w:start w:val="1"/>
      <w:numFmt w:val="decimal"/>
      <w:isLgl/>
      <w:lvlText w:val="%1.%2.%3."/>
      <w:lvlJc w:val="left"/>
      <w:pPr>
        <w:ind w:left="1080" w:hanging="720"/>
      </w:pPr>
      <w:rPr>
        <w:rFonts w:hint="default"/>
        <w:color w:val="323E4F" w:themeColor="text2" w:themeShade="BF"/>
        <w:sz w:val="22"/>
      </w:rPr>
    </w:lvl>
    <w:lvl w:ilvl="3">
      <w:start w:val="1"/>
      <w:numFmt w:val="decimal"/>
      <w:isLgl/>
      <w:lvlText w:val="%1.%2.%3.%4."/>
      <w:lvlJc w:val="left"/>
      <w:pPr>
        <w:ind w:left="1440" w:hanging="1080"/>
      </w:pPr>
      <w:rPr>
        <w:rFonts w:hint="default"/>
        <w:color w:val="323E4F" w:themeColor="text2" w:themeShade="BF"/>
        <w:sz w:val="22"/>
      </w:rPr>
    </w:lvl>
    <w:lvl w:ilvl="4">
      <w:start w:val="1"/>
      <w:numFmt w:val="decimal"/>
      <w:isLgl/>
      <w:lvlText w:val="%1.%2.%3.%4.%5."/>
      <w:lvlJc w:val="left"/>
      <w:pPr>
        <w:ind w:left="1440" w:hanging="1080"/>
      </w:pPr>
      <w:rPr>
        <w:rFonts w:hint="default"/>
        <w:color w:val="323E4F" w:themeColor="text2" w:themeShade="BF"/>
        <w:sz w:val="22"/>
      </w:rPr>
    </w:lvl>
    <w:lvl w:ilvl="5">
      <w:start w:val="1"/>
      <w:numFmt w:val="decimal"/>
      <w:isLgl/>
      <w:lvlText w:val="%1.%2.%3.%4.%5.%6."/>
      <w:lvlJc w:val="left"/>
      <w:pPr>
        <w:ind w:left="1800" w:hanging="1440"/>
      </w:pPr>
      <w:rPr>
        <w:rFonts w:hint="default"/>
        <w:color w:val="323E4F" w:themeColor="text2" w:themeShade="BF"/>
        <w:sz w:val="22"/>
      </w:rPr>
    </w:lvl>
    <w:lvl w:ilvl="6">
      <w:start w:val="1"/>
      <w:numFmt w:val="decimal"/>
      <w:isLgl/>
      <w:lvlText w:val="%1.%2.%3.%4.%5.%6.%7."/>
      <w:lvlJc w:val="left"/>
      <w:pPr>
        <w:ind w:left="1800" w:hanging="1440"/>
      </w:pPr>
      <w:rPr>
        <w:rFonts w:hint="default"/>
        <w:color w:val="323E4F" w:themeColor="text2" w:themeShade="BF"/>
        <w:sz w:val="22"/>
      </w:rPr>
    </w:lvl>
    <w:lvl w:ilvl="7">
      <w:start w:val="1"/>
      <w:numFmt w:val="decimal"/>
      <w:isLgl/>
      <w:lvlText w:val="%1.%2.%3.%4.%5.%6.%7.%8."/>
      <w:lvlJc w:val="left"/>
      <w:pPr>
        <w:ind w:left="2160" w:hanging="1800"/>
      </w:pPr>
      <w:rPr>
        <w:rFonts w:hint="default"/>
        <w:color w:val="323E4F" w:themeColor="text2" w:themeShade="BF"/>
        <w:sz w:val="22"/>
      </w:rPr>
    </w:lvl>
    <w:lvl w:ilvl="8">
      <w:start w:val="1"/>
      <w:numFmt w:val="decimal"/>
      <w:isLgl/>
      <w:lvlText w:val="%1.%2.%3.%4.%5.%6.%7.%8.%9."/>
      <w:lvlJc w:val="left"/>
      <w:pPr>
        <w:ind w:left="2160" w:hanging="1800"/>
      </w:pPr>
      <w:rPr>
        <w:rFonts w:hint="default"/>
        <w:color w:val="323E4F" w:themeColor="text2" w:themeShade="BF"/>
        <w:sz w:val="22"/>
      </w:rPr>
    </w:lvl>
  </w:abstractNum>
  <w:abstractNum w:abstractNumId="1" w15:restartNumberingAfterBreak="0">
    <w:nsid w:val="3558373F"/>
    <w:multiLevelType w:val="hybridMultilevel"/>
    <w:tmpl w:val="CB40CFCC"/>
    <w:lvl w:ilvl="0" w:tplc="8E7211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598703">
    <w:abstractNumId w:val="1"/>
  </w:num>
  <w:num w:numId="2" w16cid:durableId="98705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B5558"/>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E366D"/>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02DFBE82-9B63-4F8D-83F7-029F958E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Paragraphedeliste">
    <w:name w:val="List Paragraph"/>
    <w:aliases w:val="List Paragraph 1"/>
    <w:basedOn w:val="Normal"/>
    <w:link w:val="ParagraphedelisteCar"/>
    <w:uiPriority w:val="34"/>
    <w:qFormat/>
    <w:rsid w:val="00AE366D"/>
    <w:pPr>
      <w:spacing w:after="200" w:line="276" w:lineRule="auto"/>
      <w:ind w:left="720"/>
      <w:contextualSpacing/>
    </w:pPr>
    <w:rPr>
      <w:kern w:val="2"/>
      <w14:ligatures w14:val="standardContextual"/>
    </w:rPr>
  </w:style>
  <w:style w:type="paragraph" w:styleId="Notedebasdepage">
    <w:name w:val="footnote text"/>
    <w:basedOn w:val="Normal"/>
    <w:link w:val="NotedebasdepageCar"/>
    <w:uiPriority w:val="99"/>
    <w:unhideWhenUsed/>
    <w:rsid w:val="00AE366D"/>
    <w:pPr>
      <w:spacing w:after="0" w:line="240" w:lineRule="auto"/>
    </w:pPr>
    <w:rPr>
      <w:kern w:val="2"/>
      <w:sz w:val="20"/>
      <w:szCs w:val="20"/>
      <w14:ligatures w14:val="standardContextual"/>
    </w:rPr>
  </w:style>
  <w:style w:type="character" w:customStyle="1" w:styleId="NotedebasdepageCar">
    <w:name w:val="Note de bas de page Car"/>
    <w:basedOn w:val="Policepardfaut"/>
    <w:link w:val="Notedebasdepage"/>
    <w:uiPriority w:val="99"/>
    <w:rsid w:val="00AE366D"/>
    <w:rPr>
      <w:kern w:val="2"/>
      <w:sz w:val="20"/>
      <w:szCs w:val="20"/>
      <w14:ligatures w14:val="standardContextual"/>
    </w:rPr>
  </w:style>
  <w:style w:type="character" w:styleId="Appelnotedebasdep">
    <w:name w:val="footnote reference"/>
    <w:basedOn w:val="Policepardfaut"/>
    <w:uiPriority w:val="99"/>
    <w:unhideWhenUsed/>
    <w:rsid w:val="00AE366D"/>
    <w:rPr>
      <w:vertAlign w:val="superscript"/>
    </w:rPr>
  </w:style>
  <w:style w:type="character" w:customStyle="1" w:styleId="ParagraphedelisteCar">
    <w:name w:val="Paragraphe de liste Car"/>
    <w:aliases w:val="List Paragraph 1 Car"/>
    <w:basedOn w:val="Policepardfaut"/>
    <w:link w:val="Paragraphedeliste"/>
    <w:uiPriority w:val="34"/>
    <w:locked/>
    <w:rsid w:val="00AE366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77749">
      <w:bodyDiv w:val="1"/>
      <w:marLeft w:val="0"/>
      <w:marRight w:val="0"/>
      <w:marTop w:val="0"/>
      <w:marBottom w:val="0"/>
      <w:divBdr>
        <w:top w:val="none" w:sz="0" w:space="0" w:color="auto"/>
        <w:left w:val="none" w:sz="0" w:space="0" w:color="auto"/>
        <w:bottom w:val="none" w:sz="0" w:space="0" w:color="auto"/>
        <w:right w:val="none" w:sz="0" w:space="0" w:color="auto"/>
      </w:divBdr>
      <w:divsChild>
        <w:div w:id="453210709">
          <w:marLeft w:val="0"/>
          <w:marRight w:val="0"/>
          <w:marTop w:val="0"/>
          <w:marBottom w:val="0"/>
          <w:divBdr>
            <w:top w:val="none" w:sz="0" w:space="0" w:color="auto"/>
            <w:left w:val="none" w:sz="0" w:space="0" w:color="auto"/>
            <w:bottom w:val="none" w:sz="0" w:space="0" w:color="auto"/>
            <w:right w:val="none" w:sz="0" w:space="0" w:color="auto"/>
          </w:divBdr>
          <w:divsChild>
            <w:div w:id="18556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c-acces@riziv-inami.fgov.be" TargetMode="External"/><Relationship Id="rId18" Type="http://schemas.openxmlformats.org/officeDocument/2006/relationships/hyperlink" Target="https://collab.govshare.fed.be/processes/circulaires/Omzendbrieven/20241210153145/Bijlage%204_%20Rapportering%20V.I._regularisaties%20.docx"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ollab.govshare.fed.be/processes/circulaires/Omzendbrieven/20241210153145/Bijlage%203_%20Rapportage%20V.I._gebruik%20&amp;%20gevolgen%20van%20de%20Bijdragebons%20i.k.v%20een%20ambtshalve%20inschrijving.doc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ollab.govshare.fed.be/processes/circulaires/Omzendbrieven/20241210153145/Bijlage%202_%20Rapportage%20V.I._gebruik%20&amp;%20gevolgen%20van%20de%20DIMONA.docx" TargetMode="External"/><Relationship Id="rId20" Type="http://schemas.openxmlformats.org/officeDocument/2006/relationships/hyperlink" Target="https://collab.govshare.fed.be/processes/circulaires/Omzendbrieven/20241210153145/Bijlage%206_%20%20Doorlooptijd%20ontvangst%20DIMONA-Bericht%20-%20Contactname%20verzekerden.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collab.govshare.fed.be/processes/circulaires/Omzendbrieven/20241210153145/Bijlage%201_%20rapportage%20NIC.docx"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collab.govshare.fed.be/processes/circulaires/Omzendbrieven/20241210153145/Bijlage%205_%20Rapportering%20V.I._mutaties%20na%20ambtshalve%20inschrijving.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 Id="rId30" Type="http://schemas.openxmlformats.org/officeDocument/2006/relationships/customXml" Target="../customXml/item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206</Value>
      <Value>365</Value>
      <Value>14</Value>
    </TaxCatchAll>
    <Omzendbrief_x0020_datum xmlns="a445d3d8-28a8-4826-ad51-85ae78dbc123">2024-12-09T23:00:00+00:00</Omzendbrief_x0020_datum>
    <Toepassing_x0020_van xmlns="a445d3d8-28a8-4826-ad51-85ae78dbc123" xsi:nil="true"/>
    <Omzendbrief_x0020_nr xmlns="a445d3d8-28a8-4826-ad51-85ae78dbc123">2024</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Omzendbrief_x0020_volgnr xmlns="a445d3d8-28a8-4826-ad51-85ae78dbc123">375</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6595</Dossier>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2.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3.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8137210e-1cf5-4361-bb77-e636aee5ca5c</FieldId>
        <FieldInternalName>DienstOpBrief</FieldInternalName>
      </ParentSource>
    </FieldValueSource>
  </FieldMetadata>
  <FieldMetadata>
    <SdtId>-1296370579</SdtId>
    <Tag>Omzendbrief_x0020_nr</Tag>
    <IsReadOnly>True</IsReadOnly>
    <Value>2024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e9039d1c-44c2-46a8-a1cc-68d24d53032b</FieldId>
      <FieldInternalName>replaces_x002d_ozb_x002d_nr</FieldInternalName>
    </FieldValueSource>
  </FieldMetadata>
  <FieldMetadata>
    <SdtId>1181083119</SdtId>
    <Tag>rubr_x002d_multiline</Tag>
    <IsReadOnly>False</IsReadOnly>
    <Value><![CDATA[
260 /..
52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6595</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6595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6595</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6610</ItemId>
      <FieldId>65c6f9ed-f47d-44e6-abd1-7cdebcafdd8b</FieldId>
      <FieldInternalName>Cel_x003A_Titel</FieldInternalName>
    </FieldValueSource>
  </FieldMetadata>
</FieldMetadata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Templates>
  <Display>DocumentLibraryForm</Display>
  <Edit>DocumentLibraryForm</Edit>
  <New>DocumentLibraryForm</New>
  <MobileDisplayFormUrl/>
  <MobileEditFormUrl/>
  <MobileNewFormUrl/>
</FormTemplat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BA7489E9-BCCE-440D-B434-29E52A617D55}">
  <ds:schemaRefs>
    <ds:schemaRef ds:uri="http://schemas.microsoft.com/office/2006/documentManagement/types"/>
    <ds:schemaRef ds:uri="http://schemas.microsoft.com/office/2006/metadata/properties"/>
    <ds:schemaRef ds:uri="http://purl.org/dc/terms/"/>
    <ds:schemaRef ds:uri="http://purl.org/dc/elements/1.1/"/>
    <ds:schemaRef ds:uri="5c99ba27-9f4a-43d1-a433-cd21c0c58a91"/>
    <ds:schemaRef ds:uri="872641a8-5ee1-4ad8-a2c8-179bbc26f47e"/>
    <ds:schemaRef ds:uri="http://schemas.microsoft.com/office/infopath/2007/PartnerControls"/>
    <ds:schemaRef ds:uri="a771fd84-99d5-44c2-9dac-0b7cb5888153"/>
    <ds:schemaRef ds:uri="http://schemas.openxmlformats.org/package/2006/metadata/core-properties"/>
    <ds:schemaRef ds:uri="http://www.w3.org/XML/1998/namespace"/>
    <ds:schemaRef ds:uri="a445d3d8-28a8-4826-ad51-85ae78dbc123"/>
    <ds:schemaRef ds:uri="http://schemas.microsoft.com/sharepoint/v3"/>
    <ds:schemaRef ds:uri="http://purl.org/dc/dcmitype/"/>
  </ds:schemaRefs>
</ds:datastoreItem>
</file>

<file path=customXml/itemProps2.xml><?xml version="1.0" encoding="utf-8"?>
<ds:datastoreItem xmlns:ds="http://schemas.openxmlformats.org/officeDocument/2006/customXml" ds:itemID="{4D11246C-2C8B-4F98-9DF9-670EE07283B8}">
  <ds:schemaRefs>
    <ds:schemaRef ds:uri="http://schemas.enovapoint.com/SP/DocumentSettings"/>
  </ds:schemaRefs>
</ds:datastoreItem>
</file>

<file path=customXml/itemProps3.xml><?xml version="1.0" encoding="utf-8"?>
<ds:datastoreItem xmlns:ds="http://schemas.openxmlformats.org/officeDocument/2006/customXml" ds:itemID="{5532867E-2D8C-4B84-9679-2D6CE941A521}">
  <ds:schemaRefs>
    <ds:schemaRef ds:uri="http://schemas.enovapoint.com/SP/FieldMetadataCollection"/>
  </ds:schemaRefs>
</ds:datastoreItem>
</file>

<file path=customXml/itemProps4.xml><?xml version="1.0" encoding="utf-8"?>
<ds:datastoreItem xmlns:ds="http://schemas.openxmlformats.org/officeDocument/2006/customXml" ds:itemID="{BDD88A10-57C2-4C8F-80CE-64B2F2BA7F99}"/>
</file>

<file path=customXml/itemProps5.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6.xml><?xml version="1.0" encoding="utf-8"?>
<ds:datastoreItem xmlns:ds="http://schemas.openxmlformats.org/officeDocument/2006/customXml" ds:itemID="{54CEB964-429C-49DB-B0CA-7CAE2E227C4F}">
  <ds:schemaRefs/>
</ds:datastoreItem>
</file>

<file path=customXml/itemProps7.xml><?xml version="1.0" encoding="utf-8"?>
<ds:datastoreItem xmlns:ds="http://schemas.openxmlformats.org/officeDocument/2006/customXml" ds:itemID="{53FD1635-6FB4-4ED5-BAED-57B26B2001EB}"/>
</file>

<file path=docProps/app.xml><?xml version="1.0" encoding="utf-8"?>
<Properties xmlns="http://schemas.openxmlformats.org/officeDocument/2006/extended-properties" xmlns:vt="http://schemas.openxmlformats.org/officeDocument/2006/docPropsVTypes">
  <Template>Normal.dotm</Template>
  <TotalTime>0</TotalTime>
  <Pages>5</Pages>
  <Words>1530</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Jacobs Tom</dc:creator>
  <cp:keywords/>
  <dc:description/>
  <cp:lastModifiedBy>Benjamin Minne (RIZIV-INAMI)</cp:lastModifiedBy>
  <cp:revision>38</cp:revision>
  <dcterms:created xsi:type="dcterms:W3CDTF">2022-08-11T11:23:00Z</dcterms:created>
  <dcterms:modified xsi:type="dcterms:W3CDTF">2024-12-10T14:45:00Z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0x010100BDF9EAF7E7FE59449502797BFB51743F005D2944E73DC272469E1B2589C7415C95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206;#260 - Bijdragebons|1f43c876-dad7-4126-8c55-84a632868c30;#365;#52 - Statistische controle|bc17398c-147c-45d1-a021-baebed896a6d</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