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2B4E49BE" w:rsidR="00616E91" w:rsidRDefault="00B01A8D">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0C62B8F1"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05-20T00:00:00Z">
            <w:dateFormat w:val="d-M-yyyy"/>
            <w:lid w:val="nl-NL"/>
            <w:storeMappedDataAs w:val="dateTime"/>
            <w:calendar w:val="gregorian"/>
          </w:date>
        </w:sdtPr>
        <w:sdtEndPr/>
        <w:sdtContent>
          <w:r w:rsidR="00B01A8D">
            <w:rPr>
              <w:rFonts w:ascii="Arial" w:hAnsi="Arial" w:cs="Arial"/>
              <w:sz w:val="18"/>
              <w:szCs w:val="18"/>
              <w:lang w:val="nl-NL"/>
            </w:rPr>
            <w:t>20-5-2025</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B01A8D"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Vervangt omzendbrief 2024</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/337</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van 28/11/2024</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0CD4922E" w14:textId="77777777" w:rsidR="00C1392B" w:rsidRDefault="00B01A8D">
          <w:pPr>
            <w:tabs>
              <w:tab w:val="left" w:pos="3558"/>
              <w:tab w:val="center" w:pos="4680"/>
              <w:tab w:val="left" w:pos="7098"/>
              <w:tab w:val="right" w:pos="9360"/>
            </w:tabs>
            <w:rPr>
              <w:rFonts w:ascii="Arial" w:hAnsi="Arial" w:cs="Arial"/>
              <w:sz w:val="18"/>
              <w:szCs w:val="18"/>
              <w:lang w:val="nl-BE"/>
            </w:rPr>
          </w:pPr>
          <w:r>
            <w:rPr>
              <w:lang w:val="nl-BE"/>
            </w:rPr>
            <w:br/>
            <w:t>3991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2EFE061B" w14:textId="77777777" w:rsidR="00B01A8D" w:rsidRDefault="00B01A8D">
          <w:pPr>
            <w:pStyle w:val="NormalWeb"/>
            <w:divId w:val="1236551026"/>
            <w:rPr>
              <w:rFonts w:ascii="Arial" w:hAnsi="Arial" w:cs="Arial"/>
              <w:sz w:val="18"/>
              <w:szCs w:val="18"/>
            </w:rPr>
          </w:pPr>
          <w:r>
            <w:rPr>
              <w:rFonts w:ascii="Arial" w:hAnsi="Arial" w:cs="Arial"/>
              <w:sz w:val="18"/>
              <w:szCs w:val="18"/>
            </w:rPr>
            <w:t>​</w:t>
          </w:r>
          <w:r>
            <w:rPr>
              <w:rStyle w:val="lev"/>
              <w:rFonts w:ascii="Arial" w:hAnsi="Arial" w:cs="Arial"/>
              <w:sz w:val="18"/>
              <w:szCs w:val="18"/>
              <w:lang w:val="en-US"/>
            </w:rPr>
            <w:t>Bewijs van indicatoren van rechthebbende op de verhoogde verzekeringstegemoetkoming (V.T.) zonder de toepassing van de referentieperiode van één jaar.</w:t>
          </w:r>
          <w:r>
            <w:rPr>
              <w:rFonts w:ascii="Arial" w:hAnsi="Arial" w:cs="Arial"/>
              <w:sz w:val="18"/>
              <w:szCs w:val="18"/>
              <w:lang w:val="en-US"/>
            </w:rPr>
            <w:t>​</w:t>
          </w:r>
          <w:r>
            <w:rPr>
              <w:rFonts w:ascii="Arial" w:hAnsi="Arial" w:cs="Arial"/>
              <w:sz w:val="18"/>
              <w:szCs w:val="18"/>
            </w:rPr>
            <w:t>​</w:t>
          </w:r>
        </w:p>
        <w:p w14:paraId="51F89D3E" w14:textId="77777777" w:rsidR="00C1392B" w:rsidRDefault="00B01A8D">
          <w:pPr>
            <w:spacing w:after="0" w:line="14" w:lineRule="exact"/>
            <w:rPr>
              <w:sz w:val="2"/>
              <w:szCs w:val="2"/>
            </w:rPr>
          </w:pPr>
        </w:p>
      </w:sdtContent>
    </w:sdt>
    <w:p w14:paraId="71C9004B" w14:textId="77777777" w:rsidR="00947EAC" w:rsidRDefault="00947EAC" w:rsidP="00A80F56">
      <w:pPr>
        <w:rPr>
          <w:lang w:val="nl-NL"/>
        </w:rPr>
      </w:pPr>
    </w:p>
    <w:p w14:paraId="2BBD0A26" w14:textId="77777777" w:rsidR="00B01A8D" w:rsidRDefault="00B01A8D" w:rsidP="00B01A8D">
      <w:pPr>
        <w:rPr>
          <w:rFonts w:cs="Arial"/>
          <w:lang w:val="nl-BE"/>
        </w:rPr>
      </w:pPr>
      <w:r>
        <w:rPr>
          <w:rFonts w:cs="Arial"/>
          <w:b/>
          <w:lang w:val="nl-BE"/>
        </w:rPr>
        <w:t>Inleiding</w:t>
      </w:r>
    </w:p>
    <w:p w14:paraId="0E3B300C" w14:textId="77777777" w:rsidR="00B01A8D" w:rsidRDefault="00B01A8D" w:rsidP="00B01A8D">
      <w:pPr>
        <w:jc w:val="both"/>
        <w:rPr>
          <w:rFonts w:cs="Arial"/>
          <w:lang w:val="nl-BE"/>
        </w:rPr>
      </w:pPr>
      <w:r>
        <w:rPr>
          <w:rFonts w:cs="Arial"/>
          <w:lang w:val="nl-BE"/>
        </w:rPr>
        <w:t>In toepassing van artikel 18 van het koninklijk besluit van 15 januari 2014 betreffende de verhoogde verzekeringstegemoetkoming, bedoeld in artikel 37, § 19, van de wet betreffende de verplichte verzekering voor geneeskundige verzorging en uitkeringen, gecoördineerd op 14 juli 1994 (hierna: “GVU</w:t>
      </w:r>
      <w:r>
        <w:rPr>
          <w:rFonts w:cs="Arial"/>
          <w:lang w:val="nl-BE"/>
        </w:rPr>
        <w:noBreakHyphen/>
        <w:t xml:space="preserve">wet”), kan indien aan de gestelde voorwaarden is voldaan, het recht op verhoogde verzekeringstegemoetkoming worden toegekend na een inkomstenonderzoek zonder gebruik van de referentieperiode van één jaar. </w:t>
      </w:r>
    </w:p>
    <w:p w14:paraId="0FAEF77B" w14:textId="77777777" w:rsidR="00B01A8D" w:rsidRDefault="00B01A8D" w:rsidP="00B01A8D">
      <w:pPr>
        <w:jc w:val="both"/>
        <w:rPr>
          <w:rFonts w:cs="Arial"/>
          <w:lang w:val="nl-BE"/>
        </w:rPr>
      </w:pPr>
      <w:r>
        <w:rPr>
          <w:rFonts w:cs="Arial"/>
          <w:lang w:val="nl-BE"/>
        </w:rPr>
        <w:t xml:space="preserve">Dit geldt meer bepaald voor gezinnen waarvan één van de leden zich in één van de volgende situaties bevindt (situatie die als ‘indicator’ wordt aangemerkt): </w:t>
      </w:r>
    </w:p>
    <w:p w14:paraId="4658E939" w14:textId="77777777" w:rsidR="00B01A8D" w:rsidRDefault="00B01A8D" w:rsidP="00B01A8D">
      <w:pPr>
        <w:numPr>
          <w:ilvl w:val="0"/>
          <w:numId w:val="1"/>
        </w:numPr>
        <w:spacing w:after="200" w:line="240" w:lineRule="auto"/>
        <w:contextualSpacing/>
        <w:jc w:val="both"/>
        <w:rPr>
          <w:rFonts w:eastAsia="Times New Roman" w:cs="Arial"/>
          <w:lang w:val="nl-BE"/>
        </w:rPr>
      </w:pPr>
      <w:r>
        <w:rPr>
          <w:rFonts w:eastAsia="Times New Roman" w:cs="Arial"/>
          <w:lang w:val="nl-BE"/>
        </w:rPr>
        <w:t>Gepensioneerde (</w:t>
      </w:r>
      <w:r>
        <w:rPr>
          <w:rFonts w:eastAsia="SimSun" w:cs="Arial"/>
          <w:lang w:val="nl-BE"/>
        </w:rPr>
        <w:t>hoedanigheid van gerechtigde gepensioneerde, bedoeld in artikel 32, eerste lid, 7° tot 12°, van de GVU-wet);</w:t>
      </w:r>
    </w:p>
    <w:p w14:paraId="5BF80ABE" w14:textId="77777777" w:rsidR="00B01A8D" w:rsidRDefault="00B01A8D" w:rsidP="00B01A8D">
      <w:pPr>
        <w:numPr>
          <w:ilvl w:val="0"/>
          <w:numId w:val="1"/>
        </w:numPr>
        <w:spacing w:after="200" w:line="240" w:lineRule="auto"/>
        <w:contextualSpacing/>
        <w:jc w:val="both"/>
        <w:rPr>
          <w:rFonts w:eastAsia="Times New Roman" w:cs="Arial"/>
          <w:lang w:val="nl-BE"/>
        </w:rPr>
      </w:pPr>
      <w:r>
        <w:rPr>
          <w:rFonts w:eastAsia="Times New Roman" w:cs="Arial"/>
          <w:lang w:val="nl-BE"/>
        </w:rPr>
        <w:t>Invalide die een invaliditeitsuitkering ontvangt (invaliditeitsuitkering in de zin van artikel 93 van de GVU–wet);</w:t>
      </w:r>
    </w:p>
    <w:p w14:paraId="55C10F76" w14:textId="77777777" w:rsidR="00B01A8D" w:rsidRDefault="00B01A8D" w:rsidP="00B01A8D">
      <w:pPr>
        <w:numPr>
          <w:ilvl w:val="0"/>
          <w:numId w:val="1"/>
        </w:numPr>
        <w:spacing w:after="200" w:line="240" w:lineRule="auto"/>
        <w:contextualSpacing/>
        <w:jc w:val="both"/>
        <w:rPr>
          <w:rFonts w:eastAsia="Times New Roman" w:cs="Arial"/>
          <w:lang w:val="nl-BE"/>
        </w:rPr>
      </w:pPr>
      <w:r>
        <w:rPr>
          <w:rFonts w:eastAsia="Times New Roman" w:cs="Arial"/>
          <w:lang w:val="nl-BE"/>
        </w:rPr>
        <w:t>Overheidspersoneelslid in disponibiliteit sedert 3 maanden;</w:t>
      </w:r>
    </w:p>
    <w:p w14:paraId="6A7B060B" w14:textId="77777777" w:rsidR="00B01A8D" w:rsidRDefault="00B01A8D" w:rsidP="00B01A8D">
      <w:pPr>
        <w:numPr>
          <w:ilvl w:val="0"/>
          <w:numId w:val="1"/>
        </w:numPr>
        <w:spacing w:after="200" w:line="240" w:lineRule="auto"/>
        <w:contextualSpacing/>
        <w:jc w:val="both"/>
        <w:rPr>
          <w:rFonts w:eastAsia="Times New Roman" w:cs="Arial"/>
          <w:lang w:val="nl-BE"/>
        </w:rPr>
      </w:pPr>
      <w:r>
        <w:rPr>
          <w:rFonts w:eastAsia="Times New Roman" w:cs="Arial"/>
          <w:lang w:val="nl-BE"/>
        </w:rPr>
        <w:t>Militair in tijdelijke ambtsontheffing (wanneer die periode van ambtsontheffing tenminste 3 maanden duurt);</w:t>
      </w:r>
    </w:p>
    <w:p w14:paraId="0CA3CE95" w14:textId="77777777" w:rsidR="00B01A8D" w:rsidRDefault="00B01A8D" w:rsidP="00B01A8D">
      <w:pPr>
        <w:numPr>
          <w:ilvl w:val="0"/>
          <w:numId w:val="1"/>
        </w:numPr>
        <w:spacing w:after="200" w:line="240" w:lineRule="auto"/>
        <w:contextualSpacing/>
        <w:jc w:val="both"/>
        <w:rPr>
          <w:rFonts w:eastAsia="Times New Roman" w:cs="Arial"/>
          <w:lang w:val="nl-BE"/>
        </w:rPr>
      </w:pPr>
      <w:r>
        <w:rPr>
          <w:rFonts w:eastAsia="Times New Roman" w:cs="Arial"/>
          <w:lang w:val="nl-BE"/>
        </w:rPr>
        <w:t>Verzekerde in arbeidsongeschiktheid en gecontroleerd werkloosheid waarvan de som van de periodes van arbeidsongeschiktheid en werkloosheid de duur van 3 maanden bereikt;</w:t>
      </w:r>
    </w:p>
    <w:p w14:paraId="0338E3E7" w14:textId="77777777" w:rsidR="00B01A8D" w:rsidRDefault="00B01A8D" w:rsidP="00B01A8D">
      <w:pPr>
        <w:numPr>
          <w:ilvl w:val="0"/>
          <w:numId w:val="1"/>
        </w:numPr>
        <w:spacing w:after="200" w:line="240" w:lineRule="auto"/>
        <w:contextualSpacing/>
        <w:jc w:val="both"/>
        <w:rPr>
          <w:rFonts w:eastAsia="Times New Roman" w:cs="Arial"/>
          <w:lang w:val="nl-BE"/>
        </w:rPr>
      </w:pPr>
      <w:r>
        <w:rPr>
          <w:rFonts w:eastAsia="Times New Roman" w:cs="Arial"/>
          <w:lang w:val="nl-BE"/>
        </w:rPr>
        <w:t>Verzekerde die voldoet aan de voorwaarden om als “gerechtigde met een handicap” te worden ingeschreven (gerechtigde in de zin van artikel 32, eerste lid, 13°, van de GVU–wet);</w:t>
      </w:r>
    </w:p>
    <w:p w14:paraId="388BCA1E" w14:textId="77777777" w:rsidR="00B01A8D" w:rsidRDefault="00B01A8D" w:rsidP="00B01A8D">
      <w:pPr>
        <w:numPr>
          <w:ilvl w:val="0"/>
          <w:numId w:val="1"/>
        </w:numPr>
        <w:spacing w:after="200" w:line="240" w:lineRule="auto"/>
        <w:contextualSpacing/>
        <w:jc w:val="both"/>
        <w:rPr>
          <w:rFonts w:eastAsia="Times New Roman" w:cs="Arial"/>
          <w:lang w:val="nl-BE"/>
        </w:rPr>
      </w:pPr>
      <w:r>
        <w:rPr>
          <w:rFonts w:eastAsia="Times New Roman" w:cs="Arial"/>
          <w:lang w:val="nl-BE"/>
        </w:rPr>
        <w:t>Weduwnaar of weduwe</w:t>
      </w:r>
      <w:r>
        <w:rPr>
          <w:rFonts w:cs="Arial"/>
          <w:lang w:val="nl-BE"/>
        </w:rPr>
        <w:t xml:space="preserve"> tot 1 januari 2022;</w:t>
      </w:r>
    </w:p>
    <w:p w14:paraId="65D5B964" w14:textId="77777777" w:rsidR="00B01A8D" w:rsidRDefault="00B01A8D" w:rsidP="00B01A8D">
      <w:pPr>
        <w:numPr>
          <w:ilvl w:val="0"/>
          <w:numId w:val="1"/>
        </w:numPr>
        <w:spacing w:after="200" w:line="240" w:lineRule="auto"/>
        <w:contextualSpacing/>
        <w:jc w:val="both"/>
        <w:rPr>
          <w:rFonts w:eastAsia="Times New Roman" w:cs="Arial"/>
          <w:lang w:val="nl-BE"/>
        </w:rPr>
      </w:pPr>
      <w:r>
        <w:rPr>
          <w:rFonts w:cs="Arial"/>
          <w:lang w:val="nl-BE"/>
        </w:rPr>
        <w:t xml:space="preserve">Verzekerden die </w:t>
      </w:r>
      <w:r>
        <w:rPr>
          <w:rFonts w:eastAsia="Times New Roman" w:cs="Arial"/>
          <w:lang w:val="nl-BE"/>
        </w:rPr>
        <w:t>genieten van een overlevingspensioen vanaf 1 januari 2022;</w:t>
      </w:r>
    </w:p>
    <w:p w14:paraId="53360FA9" w14:textId="77777777" w:rsidR="00B01A8D" w:rsidRDefault="00B01A8D" w:rsidP="00B01A8D">
      <w:pPr>
        <w:numPr>
          <w:ilvl w:val="0"/>
          <w:numId w:val="1"/>
        </w:numPr>
        <w:spacing w:after="200" w:line="240" w:lineRule="auto"/>
        <w:contextualSpacing/>
        <w:jc w:val="both"/>
        <w:rPr>
          <w:rFonts w:eastAsia="Times New Roman" w:cs="Arial"/>
          <w:lang w:val="nl-BE"/>
        </w:rPr>
      </w:pPr>
      <w:r>
        <w:rPr>
          <w:rFonts w:eastAsia="Times New Roman" w:cs="Arial"/>
          <w:lang w:val="nl-BE"/>
        </w:rPr>
        <w:t>Gerechtigde binnen een eenoudergezin;</w:t>
      </w:r>
    </w:p>
    <w:p w14:paraId="5C03BA88" w14:textId="77777777" w:rsidR="00B01A8D" w:rsidRDefault="00B01A8D" w:rsidP="00B01A8D">
      <w:pPr>
        <w:numPr>
          <w:ilvl w:val="0"/>
          <w:numId w:val="1"/>
        </w:numPr>
        <w:spacing w:after="200" w:line="240" w:lineRule="auto"/>
        <w:contextualSpacing/>
        <w:jc w:val="both"/>
        <w:rPr>
          <w:rFonts w:eastAsia="Times New Roman" w:cs="Arial"/>
          <w:lang w:val="nl-BE"/>
        </w:rPr>
      </w:pPr>
      <w:r>
        <w:rPr>
          <w:rFonts w:eastAsia="Times New Roman" w:cs="Arial"/>
          <w:lang w:val="nl-BE"/>
        </w:rPr>
        <w:t>Verzekerde meegedeeld in de proactieve stroom;</w:t>
      </w:r>
    </w:p>
    <w:p w14:paraId="1617E214" w14:textId="77777777" w:rsidR="00B01A8D" w:rsidRDefault="00B01A8D" w:rsidP="00B01A8D">
      <w:pPr>
        <w:numPr>
          <w:ilvl w:val="0"/>
          <w:numId w:val="1"/>
        </w:numPr>
        <w:spacing w:after="200" w:line="240" w:lineRule="auto"/>
        <w:contextualSpacing/>
        <w:jc w:val="both"/>
        <w:rPr>
          <w:rFonts w:eastAsia="Times New Roman" w:cs="Arial"/>
          <w:lang w:val="nl-BE"/>
        </w:rPr>
      </w:pPr>
      <w:r>
        <w:rPr>
          <w:rFonts w:eastAsia="Times New Roman" w:cs="Arial"/>
          <w:lang w:val="nl-BE"/>
        </w:rPr>
        <w:t>Zelfstandige in klassiek overbruggingsrecht gedurende ten minste 1 kwartaal vanaf 1 juli 2022;</w:t>
      </w:r>
    </w:p>
    <w:p w14:paraId="2D48D79C" w14:textId="77777777" w:rsidR="00B01A8D" w:rsidRDefault="00B01A8D" w:rsidP="00B01A8D">
      <w:pPr>
        <w:numPr>
          <w:ilvl w:val="0"/>
          <w:numId w:val="1"/>
        </w:numPr>
        <w:spacing w:after="200" w:line="240" w:lineRule="auto"/>
        <w:contextualSpacing/>
        <w:jc w:val="both"/>
        <w:rPr>
          <w:rFonts w:eastAsia="Times New Roman" w:cs="Arial"/>
          <w:lang w:val="nl-BE"/>
        </w:rPr>
      </w:pPr>
      <w:r>
        <w:rPr>
          <w:rFonts w:eastAsia="Times New Roman" w:cs="Arial"/>
          <w:lang w:val="nl-BE"/>
        </w:rPr>
        <w:t>Verzekerde met geniet van de Tegemoetkoming voor Hulp Aan Bejaarden (THAB)</w:t>
      </w:r>
      <w:r>
        <w:rPr>
          <w:lang w:val="nl-BE"/>
        </w:rPr>
        <w:t xml:space="preserve"> </w:t>
      </w:r>
      <w:r>
        <w:rPr>
          <w:rFonts w:eastAsia="Times New Roman" w:cs="Arial"/>
          <w:lang w:val="nl-BE"/>
        </w:rPr>
        <w:t>toegekend door de Duitstalige Gemeenschap (</w:t>
      </w:r>
      <w:r>
        <w:rPr>
          <w:rFonts w:eastAsia="Times New Roman" w:cs="Arial"/>
          <w:i/>
          <w:iCs/>
          <w:lang w:val="nl-BE"/>
        </w:rPr>
        <w:t>Pflegegeld für Senioren</w:t>
      </w:r>
      <w:r>
        <w:rPr>
          <w:rFonts w:eastAsia="Times New Roman" w:cs="Arial"/>
          <w:lang w:val="nl-BE"/>
        </w:rPr>
        <w:t>) vanaf 1 januari 2023.</w:t>
      </w:r>
      <w:r>
        <w:rPr>
          <w:rStyle w:val="Appelnotedebasdep"/>
          <w:rFonts w:eastAsia="Times New Roman" w:cs="Arial"/>
          <w:lang w:val="nl-BE"/>
        </w:rPr>
        <w:footnoteReference w:id="2"/>
      </w:r>
    </w:p>
    <w:p w14:paraId="5E8433F1" w14:textId="77777777" w:rsidR="00B01A8D" w:rsidRDefault="00B01A8D" w:rsidP="00B01A8D">
      <w:pPr>
        <w:spacing w:after="0" w:line="240" w:lineRule="auto"/>
        <w:ind w:left="720"/>
        <w:contextualSpacing/>
        <w:jc w:val="both"/>
        <w:rPr>
          <w:rFonts w:eastAsia="Times New Roman" w:cs="Arial"/>
          <w:lang w:val="nl-BE"/>
        </w:rPr>
      </w:pPr>
    </w:p>
    <w:p w14:paraId="10C98E34" w14:textId="77777777" w:rsidR="00B01A8D" w:rsidRDefault="00B01A8D" w:rsidP="00B01A8D">
      <w:pPr>
        <w:jc w:val="both"/>
        <w:rPr>
          <w:rFonts w:cs="Arial"/>
          <w:lang w:val="nl-BE"/>
        </w:rPr>
      </w:pPr>
      <w:r>
        <w:rPr>
          <w:rFonts w:cs="Arial"/>
          <w:lang w:val="nl-BE"/>
        </w:rPr>
        <w:t>Met het KB van 15 maart 2022</w:t>
      </w:r>
      <w:r>
        <w:rPr>
          <w:rStyle w:val="Appelnotedebasdep"/>
          <w:rFonts w:cs="Arial"/>
          <w:lang w:val="nl-BE"/>
        </w:rPr>
        <w:footnoteReference w:id="3"/>
      </w:r>
      <w:r>
        <w:rPr>
          <w:rFonts w:cs="Arial"/>
          <w:lang w:val="nl-BE"/>
        </w:rPr>
        <w:t xml:space="preserve"> worden de indicatoren gewijzigd. Er wordt niet voorzien in overgangsmaatregelen voor wat betreft de nieuwe indicatoren: de bedoeling is om de nieuwe reglementering onmiddellijk te gaan toepassen.</w:t>
      </w:r>
    </w:p>
    <w:p w14:paraId="1F6118B7" w14:textId="77777777" w:rsidR="00B01A8D" w:rsidRDefault="00B01A8D" w:rsidP="00B01A8D">
      <w:pPr>
        <w:jc w:val="both"/>
        <w:rPr>
          <w:rFonts w:cs="Arial"/>
          <w:lang w:val="nl-BE"/>
        </w:rPr>
      </w:pPr>
      <w:r>
        <w:rPr>
          <w:rFonts w:cs="Arial"/>
          <w:lang w:val="nl-BE"/>
        </w:rPr>
        <w:t xml:space="preserve">In bijlage 1 bevindt zich een overzicht van de evolutie van de indicatoren. In deze tabel wordt voor elke nieuwe indicator de datum van inwerkingtreding weergegeven. Voor alle indicatoren staat er in het kort welke bewijsstukken de verzekeringsinstellingen (V.I.) kunnen gebruiken en of rechthebbenden op basis van deze indicator moeten deelnemen aan de tussentijdse controle of niet. </w:t>
      </w:r>
    </w:p>
    <w:p w14:paraId="6AFDE451" w14:textId="77777777" w:rsidR="00B01A8D" w:rsidRDefault="00B01A8D" w:rsidP="00B01A8D">
      <w:pPr>
        <w:jc w:val="both"/>
        <w:rPr>
          <w:rFonts w:cs="Arial"/>
          <w:lang w:val="nl-BE"/>
        </w:rPr>
      </w:pPr>
      <w:r>
        <w:rPr>
          <w:rFonts w:cs="Arial"/>
          <w:lang w:val="nl-BE"/>
        </w:rPr>
        <w:t>De omzendbrief V.I. nr.  2022/132 van 27 april 2022 van de Dienst voor geneeskundige verzorging, omschrijft en preciseert de reglementaire voorwaarden van de situaties, die als “indicator” gelden.</w:t>
      </w:r>
    </w:p>
    <w:p w14:paraId="292CEE57" w14:textId="77777777" w:rsidR="00B01A8D" w:rsidRDefault="00B01A8D" w:rsidP="00B01A8D">
      <w:pPr>
        <w:jc w:val="both"/>
        <w:rPr>
          <w:rFonts w:cs="Arial"/>
          <w:lang w:val="nl-BE"/>
        </w:rPr>
      </w:pPr>
      <w:r>
        <w:rPr>
          <w:rFonts w:cs="Arial"/>
          <w:lang w:val="nl-BE"/>
        </w:rPr>
        <w:t>Wanneer een persoon V.T. aanvraagt op basis van een oude indicator (bv. weduwe) vóór de inwerkingtreding van de nieuwe reglementering (bv. op 21 december 2021) dan vervalt de indicator niet indien bij de indiening en ondertekening van de verklaring op erewoord 2 maanden later (op 21 februari 2022, dus na de inwerkingtreding van de nieuwe indicatoren) de betrokkene niet geniet van een overlevingspensioen volgens de nieuwe reglementering: de indicator dient namelijk te bestaan op het moment van aanvraag V.T.</w:t>
      </w:r>
    </w:p>
    <w:p w14:paraId="3BC03D46" w14:textId="77777777" w:rsidR="00B01A8D" w:rsidRDefault="00B01A8D" w:rsidP="00B01A8D">
      <w:pPr>
        <w:jc w:val="both"/>
        <w:rPr>
          <w:rFonts w:cs="Arial"/>
          <w:lang w:val="nl-BE"/>
        </w:rPr>
      </w:pPr>
      <w:bookmarkStart w:id="1" w:name="_Hlk168650269"/>
      <w:r w:rsidRPr="00A64816">
        <w:rPr>
          <w:rFonts w:cs="Arial"/>
          <w:lang w:val="nl-BE"/>
        </w:rPr>
        <w:t>Met het Koninklijk Besluit van 12 mei 2024 tot wijziging van het Koninklijk Besluit van 15 januari 2014 betreffende de verhoogde verzekeringstegemoetkoming, bedoeld in artikel 37, § 19, van de wet betreffende de verplichte verzekering voor geneeskundige verzorging en uitkeringen, gecoördineerd op 14 juli 1994, werd ond</w:t>
      </w:r>
      <w:bookmarkEnd w:id="1"/>
      <w:r w:rsidRPr="00A64816">
        <w:rPr>
          <w:rFonts w:cs="Arial"/>
          <w:lang w:val="nl-BE"/>
        </w:rPr>
        <w:t>er meer een ambtshalve opening van het recht op de verhoogde tegemoetkoming mogelijk gemaakt. Deze procedure is enkel mogelijk voor een specifieke basisdoelgroep, die vervolgens aan verschillende criteria moet voldoen. Om deze basisdoelgroep te bepalen, werd gewerkt met 2 bestaande indicatoren. Deze indicatoren hebben dus niet enkel een impact op de referentieperiode bij de klassieke opening van recht, maar ook op de mogelijkheid om het recht ambtshalve te openen. Dit wordt verder in deze omzendbrief toegelicht bij de relevante indicatoren.</w:t>
      </w:r>
    </w:p>
    <w:p w14:paraId="58FB6CB6" w14:textId="77777777" w:rsidR="00B01A8D" w:rsidRDefault="00B01A8D" w:rsidP="00B01A8D">
      <w:pPr>
        <w:jc w:val="both"/>
        <w:rPr>
          <w:rFonts w:cs="Arial"/>
          <w:lang w:val="nl-BE"/>
        </w:rPr>
      </w:pPr>
    </w:p>
    <w:p w14:paraId="40866A7E" w14:textId="77777777" w:rsidR="00B01A8D" w:rsidRDefault="00B01A8D" w:rsidP="00B01A8D">
      <w:pPr>
        <w:jc w:val="both"/>
        <w:rPr>
          <w:rFonts w:cs="Arial"/>
          <w:lang w:val="nl-BE"/>
        </w:rPr>
      </w:pPr>
    </w:p>
    <w:p w14:paraId="7FB03E95" w14:textId="77777777" w:rsidR="00B01A8D" w:rsidRDefault="00B01A8D" w:rsidP="00B01A8D">
      <w:pPr>
        <w:jc w:val="both"/>
        <w:rPr>
          <w:rFonts w:cs="Arial"/>
          <w:lang w:val="nl-BE"/>
        </w:rPr>
      </w:pPr>
    </w:p>
    <w:p w14:paraId="275DE007" w14:textId="77777777" w:rsidR="00B01A8D" w:rsidRDefault="00B01A8D" w:rsidP="00B01A8D">
      <w:pPr>
        <w:jc w:val="both"/>
        <w:rPr>
          <w:rFonts w:cs="Arial"/>
          <w:lang w:val="nl-BE"/>
        </w:rPr>
      </w:pPr>
    </w:p>
    <w:p w14:paraId="576836CC" w14:textId="77777777" w:rsidR="00B01A8D" w:rsidRDefault="00B01A8D" w:rsidP="00B01A8D">
      <w:pPr>
        <w:jc w:val="both"/>
        <w:rPr>
          <w:rFonts w:cs="Arial"/>
          <w:lang w:val="nl-BE"/>
        </w:rPr>
      </w:pPr>
    </w:p>
    <w:p w14:paraId="540B0A2C" w14:textId="77777777" w:rsidR="00B01A8D" w:rsidRDefault="00B01A8D" w:rsidP="00B01A8D">
      <w:pPr>
        <w:jc w:val="both"/>
        <w:rPr>
          <w:rFonts w:cs="Arial"/>
          <w:lang w:val="nl-BE"/>
        </w:rPr>
      </w:pPr>
    </w:p>
    <w:p w14:paraId="46922090" w14:textId="77777777" w:rsidR="00B01A8D" w:rsidRDefault="00B01A8D" w:rsidP="00B01A8D">
      <w:pPr>
        <w:jc w:val="both"/>
        <w:rPr>
          <w:rFonts w:cs="Arial"/>
          <w:lang w:val="nl-BE"/>
        </w:rPr>
      </w:pPr>
    </w:p>
    <w:p w14:paraId="6EF80156" w14:textId="77777777" w:rsidR="00B01A8D" w:rsidRDefault="00B01A8D" w:rsidP="00B01A8D">
      <w:pPr>
        <w:jc w:val="both"/>
        <w:rPr>
          <w:rFonts w:cs="Arial"/>
          <w:lang w:val="nl-BE"/>
        </w:rPr>
      </w:pPr>
    </w:p>
    <w:p w14:paraId="3B5835F5" w14:textId="77777777" w:rsidR="00B01A8D" w:rsidRDefault="00B01A8D" w:rsidP="00B01A8D">
      <w:pPr>
        <w:jc w:val="both"/>
        <w:rPr>
          <w:rFonts w:cs="Arial"/>
          <w:lang w:val="nl-BE"/>
        </w:rPr>
      </w:pPr>
    </w:p>
    <w:p w14:paraId="421AB944" w14:textId="77777777" w:rsidR="00B01A8D" w:rsidRPr="0098219B" w:rsidRDefault="00B01A8D" w:rsidP="00B01A8D">
      <w:pPr>
        <w:numPr>
          <w:ilvl w:val="0"/>
          <w:numId w:val="2"/>
        </w:numPr>
        <w:spacing w:after="0" w:line="240" w:lineRule="auto"/>
        <w:ind w:left="284" w:hanging="284"/>
        <w:contextualSpacing/>
        <w:jc w:val="both"/>
        <w:rPr>
          <w:rFonts w:eastAsia="Times New Roman" w:cs="Arial"/>
          <w:b/>
          <w:sz w:val="24"/>
          <w:szCs w:val="24"/>
          <w:lang w:val="nl-BE"/>
        </w:rPr>
      </w:pPr>
      <w:r w:rsidRPr="0098219B">
        <w:rPr>
          <w:rFonts w:eastAsia="Times New Roman" w:cs="Arial"/>
          <w:b/>
          <w:sz w:val="24"/>
          <w:szCs w:val="24"/>
          <w:lang w:val="nl-BE"/>
        </w:rPr>
        <w:t xml:space="preserve">Bewijsstukken voor de indicatoren </w:t>
      </w:r>
    </w:p>
    <w:p w14:paraId="16424790" w14:textId="77777777" w:rsidR="00B01A8D" w:rsidRDefault="00B01A8D" w:rsidP="00B01A8D">
      <w:pPr>
        <w:spacing w:after="0" w:line="240" w:lineRule="auto"/>
        <w:ind w:left="284"/>
        <w:contextualSpacing/>
        <w:jc w:val="both"/>
        <w:rPr>
          <w:rFonts w:eastAsia="Times New Roman" w:cs="Arial"/>
          <w:b/>
          <w:lang w:val="nl-BE"/>
        </w:rPr>
      </w:pPr>
    </w:p>
    <w:p w14:paraId="07C01B55" w14:textId="77777777" w:rsidR="00B01A8D" w:rsidRDefault="00B01A8D" w:rsidP="00B01A8D">
      <w:pPr>
        <w:jc w:val="both"/>
        <w:rPr>
          <w:rFonts w:cs="Arial"/>
          <w:lang w:val="nl-BE"/>
        </w:rPr>
      </w:pPr>
      <w:r>
        <w:rPr>
          <w:rFonts w:cs="Arial"/>
          <w:lang w:val="nl-BE"/>
        </w:rPr>
        <w:t>De bedoeling van deze omzendbrief is om ten behoeve van de V.I. aan te duiden welke gegevens en stukken als bewijs dienen voor de “indicatoren” bedoeld in artikel 18 van het voormelde koninklijk besluit van 15 januari 2014.</w:t>
      </w:r>
    </w:p>
    <w:p w14:paraId="6FE5524F" w14:textId="77777777" w:rsidR="00B01A8D" w:rsidRDefault="00B01A8D" w:rsidP="00B01A8D">
      <w:pPr>
        <w:numPr>
          <w:ilvl w:val="0"/>
          <w:numId w:val="2"/>
        </w:numPr>
        <w:spacing w:after="0" w:line="240" w:lineRule="auto"/>
        <w:ind w:left="284" w:hanging="284"/>
        <w:contextualSpacing/>
        <w:jc w:val="both"/>
        <w:rPr>
          <w:rFonts w:eastAsia="Times New Roman" w:cs="Arial"/>
          <w:b/>
          <w:lang w:val="nl-BE"/>
        </w:rPr>
      </w:pPr>
      <w:r w:rsidRPr="0098219B">
        <w:rPr>
          <w:rFonts w:eastAsia="Times New Roman" w:cs="Arial"/>
          <w:b/>
          <w:sz w:val="24"/>
          <w:szCs w:val="24"/>
          <w:lang w:val="nl-BE"/>
        </w:rPr>
        <w:t>Overzicht van de in aanmerking te nemen bewijsstukken</w:t>
      </w:r>
    </w:p>
    <w:p w14:paraId="4B939703" w14:textId="77777777" w:rsidR="00B01A8D" w:rsidRDefault="00B01A8D" w:rsidP="00B01A8D">
      <w:pPr>
        <w:spacing w:after="0"/>
        <w:ind w:left="720"/>
        <w:contextualSpacing/>
        <w:jc w:val="both"/>
        <w:rPr>
          <w:rFonts w:eastAsia="Times New Roman" w:cs="Arial"/>
          <w:b/>
          <w:lang w:val="nl-BE"/>
        </w:rPr>
      </w:pPr>
    </w:p>
    <w:p w14:paraId="781520BC" w14:textId="77777777" w:rsidR="00B01A8D" w:rsidRPr="0073095A" w:rsidRDefault="00B01A8D" w:rsidP="00B01A8D">
      <w:pPr>
        <w:numPr>
          <w:ilvl w:val="1"/>
          <w:numId w:val="2"/>
        </w:numPr>
        <w:tabs>
          <w:tab w:val="left" w:pos="426"/>
        </w:tabs>
        <w:spacing w:after="0" w:line="240" w:lineRule="auto"/>
        <w:ind w:left="426" w:hanging="426"/>
        <w:contextualSpacing/>
        <w:jc w:val="both"/>
        <w:rPr>
          <w:rFonts w:eastAsia="Times New Roman" w:cs="Arial"/>
          <w:b/>
          <w:szCs w:val="28"/>
          <w:lang w:val="nl-BE"/>
        </w:rPr>
      </w:pPr>
      <w:r w:rsidRPr="0073095A">
        <w:rPr>
          <w:rFonts w:eastAsia="Times New Roman" w:cs="Arial"/>
          <w:b/>
          <w:szCs w:val="28"/>
          <w:lang w:val="nl-BE"/>
        </w:rPr>
        <w:t>Gepensioneerden</w:t>
      </w:r>
    </w:p>
    <w:p w14:paraId="5D95B38C" w14:textId="77777777" w:rsidR="00B01A8D" w:rsidRDefault="00B01A8D" w:rsidP="00B01A8D">
      <w:pPr>
        <w:tabs>
          <w:tab w:val="left" w:pos="426"/>
        </w:tabs>
        <w:spacing w:after="0" w:line="240" w:lineRule="auto"/>
        <w:ind w:left="426"/>
        <w:contextualSpacing/>
        <w:jc w:val="both"/>
        <w:rPr>
          <w:rFonts w:eastAsia="Times New Roman" w:cs="Arial"/>
          <w:b/>
          <w:sz w:val="18"/>
          <w:lang w:val="nl-BE"/>
        </w:rPr>
      </w:pPr>
    </w:p>
    <w:p w14:paraId="5315E763" w14:textId="77777777" w:rsidR="00B01A8D" w:rsidRDefault="00B01A8D" w:rsidP="00B01A8D">
      <w:pPr>
        <w:jc w:val="both"/>
        <w:rPr>
          <w:rFonts w:eastAsia="SimSun" w:cs="Arial"/>
          <w:lang w:val="nl-BE"/>
        </w:rPr>
      </w:pPr>
      <w:r>
        <w:rPr>
          <w:rFonts w:cs="Arial"/>
          <w:lang w:val="nl-BE"/>
        </w:rPr>
        <w:t xml:space="preserve">Het gaat hier om de </w:t>
      </w:r>
      <w:r>
        <w:rPr>
          <w:rFonts w:eastAsia="SimSun" w:cs="Arial"/>
          <w:lang w:val="nl-BE"/>
        </w:rPr>
        <w:t>hoedanigheid van gerechtigde gepensioneerde, bedoeld in artikel 32, eerste lid, 7° tot 12°, van de GVU-wet.</w:t>
      </w:r>
    </w:p>
    <w:p w14:paraId="0A5A9F87" w14:textId="77777777" w:rsidR="00B01A8D" w:rsidRDefault="00B01A8D" w:rsidP="00B01A8D">
      <w:pPr>
        <w:jc w:val="both"/>
        <w:rPr>
          <w:rFonts w:cs="Arial"/>
          <w:lang w:val="nl-BE"/>
        </w:rPr>
      </w:pPr>
      <w:r>
        <w:rPr>
          <w:rFonts w:cs="Arial"/>
          <w:lang w:val="nl-BE"/>
        </w:rPr>
        <w:t>De Federale Pensioendienst, het Rijksinstituut voor de Sociale Verzekering der Zelfstandigen en de FOD Financiën, maken bij het ingaan van het rustpensioen verklaringen (attesten gezondheidszorgen gepensioneerden) op, waarop onder meer de ingangsdatum van het rustpensioen wordt vermeld.</w:t>
      </w:r>
    </w:p>
    <w:p w14:paraId="51A6BA5C" w14:textId="77777777" w:rsidR="00B01A8D" w:rsidRDefault="00B01A8D" w:rsidP="00B01A8D">
      <w:pPr>
        <w:jc w:val="both"/>
        <w:rPr>
          <w:rFonts w:cs="Arial"/>
          <w:lang w:val="nl-BE"/>
        </w:rPr>
      </w:pPr>
      <w:r>
        <w:rPr>
          <w:rFonts w:cs="Arial"/>
          <w:lang w:val="nl-BE"/>
        </w:rPr>
        <w:t>Deze verklaringen (attesten gezondheidszorgen gepensioneerden) worden door voornoemde instellingen via elektronische weg, via de Kruispuntbank voor Sociale Zekerheid (KSZ) en het Nationaal Intermutualistisch College (NIC), naar de V.I. gezonden waarbij de betrokkenen zijn aangesloten.</w:t>
      </w:r>
    </w:p>
    <w:p w14:paraId="04483DBB" w14:textId="77777777" w:rsidR="00B01A8D" w:rsidRDefault="00B01A8D" w:rsidP="00B01A8D">
      <w:pPr>
        <w:jc w:val="both"/>
        <w:rPr>
          <w:rFonts w:cs="Arial"/>
          <w:lang w:val="nl-BE"/>
        </w:rPr>
      </w:pPr>
      <w:r>
        <w:rPr>
          <w:rFonts w:cs="Arial"/>
          <w:lang w:val="nl-BE"/>
        </w:rPr>
        <w:t>Dit gebeurt met de elektronische stroom “A101”, op basis van de pensioenattesten met codes:</w:t>
      </w:r>
    </w:p>
    <w:p w14:paraId="6274EE65" w14:textId="77777777" w:rsidR="00B01A8D" w:rsidRPr="005E77EB" w:rsidRDefault="00B01A8D" w:rsidP="00B01A8D">
      <w:pPr>
        <w:pStyle w:val="Paragraphedeliste"/>
        <w:numPr>
          <w:ilvl w:val="0"/>
          <w:numId w:val="5"/>
        </w:numPr>
        <w:jc w:val="both"/>
        <w:rPr>
          <w:rFonts w:cs="Arial"/>
          <w:lang w:val="nl-BE"/>
        </w:rPr>
      </w:pPr>
      <w:r w:rsidRPr="005E77EB">
        <w:rPr>
          <w:rFonts w:cs="Arial"/>
          <w:lang w:val="nl-BE"/>
        </w:rPr>
        <w:t xml:space="preserve">01 </w:t>
      </w:r>
      <w:r>
        <w:rPr>
          <w:lang w:val="nl-BE"/>
        </w:rPr>
        <w:sym w:font="Wingdings" w:char="F0E0"/>
      </w:r>
      <w:r w:rsidRPr="005E77EB">
        <w:rPr>
          <w:lang w:val="nl-BE"/>
        </w:rPr>
        <w:t xml:space="preserve"> </w:t>
      </w:r>
      <w:r w:rsidRPr="005E77EB">
        <w:rPr>
          <w:rFonts w:cs="Arial"/>
          <w:lang w:val="nl-BE"/>
        </w:rPr>
        <w:t>Rustpensioen +1/3</w:t>
      </w:r>
    </w:p>
    <w:p w14:paraId="3AEA9320" w14:textId="77777777" w:rsidR="00B01A8D" w:rsidRPr="005E77EB" w:rsidRDefault="00B01A8D" w:rsidP="00B01A8D">
      <w:pPr>
        <w:pStyle w:val="Paragraphedeliste"/>
        <w:numPr>
          <w:ilvl w:val="0"/>
          <w:numId w:val="5"/>
        </w:numPr>
        <w:jc w:val="both"/>
        <w:rPr>
          <w:rFonts w:cs="Arial"/>
          <w:lang w:val="nl-BE"/>
        </w:rPr>
      </w:pPr>
      <w:r w:rsidRPr="005E77EB">
        <w:rPr>
          <w:rFonts w:cs="Arial"/>
          <w:lang w:val="nl-BE"/>
        </w:rPr>
        <w:t xml:space="preserve">09 </w:t>
      </w:r>
      <w:r>
        <w:rPr>
          <w:lang w:val="nl-BE"/>
        </w:rPr>
        <w:sym w:font="Wingdings" w:char="F0E0"/>
      </w:r>
      <w:r w:rsidRPr="005E77EB">
        <w:rPr>
          <w:lang w:val="nl-BE"/>
        </w:rPr>
        <w:t xml:space="preserve"> </w:t>
      </w:r>
      <w:r w:rsidRPr="005E77EB">
        <w:rPr>
          <w:rFonts w:cs="Arial"/>
          <w:lang w:val="nl-BE"/>
        </w:rPr>
        <w:t>Rustpensioen -1/3</w:t>
      </w:r>
    </w:p>
    <w:p w14:paraId="541B04D2" w14:textId="77777777" w:rsidR="00B01A8D" w:rsidRPr="005E77EB" w:rsidRDefault="00B01A8D" w:rsidP="00B01A8D">
      <w:pPr>
        <w:pStyle w:val="Paragraphedeliste"/>
        <w:numPr>
          <w:ilvl w:val="0"/>
          <w:numId w:val="5"/>
        </w:numPr>
        <w:jc w:val="both"/>
        <w:rPr>
          <w:rFonts w:cs="Arial"/>
          <w:lang w:val="nl-BE"/>
        </w:rPr>
      </w:pPr>
      <w:r w:rsidRPr="005E77EB">
        <w:rPr>
          <w:rFonts w:cs="Arial"/>
          <w:lang w:val="nl-BE"/>
        </w:rPr>
        <w:t xml:space="preserve">69 </w:t>
      </w:r>
      <w:r>
        <w:rPr>
          <w:lang w:val="nl-BE"/>
        </w:rPr>
        <w:sym w:font="Wingdings" w:char="F0E0"/>
      </w:r>
      <w:r w:rsidRPr="005E77EB">
        <w:rPr>
          <w:lang w:val="nl-BE"/>
        </w:rPr>
        <w:t xml:space="preserve"> </w:t>
      </w:r>
      <w:r w:rsidRPr="005E77EB">
        <w:rPr>
          <w:rFonts w:cs="Arial"/>
          <w:lang w:val="nl-BE"/>
        </w:rPr>
        <w:t>Zelfstandigen die niet genieten van een rustpensioen met 1 jaar beroepsactiviteit</w:t>
      </w:r>
      <w:r>
        <w:rPr>
          <w:rStyle w:val="Appelnotedebasdep"/>
          <w:rFonts w:cs="Arial"/>
          <w:lang w:val="nl-BE"/>
        </w:rPr>
        <w:footnoteReference w:id="4"/>
      </w:r>
      <w:r w:rsidRPr="005E77EB">
        <w:rPr>
          <w:rFonts w:cs="Arial"/>
          <w:lang w:val="nl-BE"/>
        </w:rPr>
        <w:t xml:space="preserve"> </w:t>
      </w:r>
    </w:p>
    <w:p w14:paraId="2B94D018" w14:textId="77777777" w:rsidR="00B01A8D" w:rsidRDefault="00B01A8D" w:rsidP="00B01A8D">
      <w:pPr>
        <w:jc w:val="both"/>
        <w:rPr>
          <w:rFonts w:cs="Arial"/>
          <w:lang w:val="nl-BE"/>
        </w:rPr>
      </w:pPr>
      <w:r>
        <w:rPr>
          <w:rFonts w:cs="Arial"/>
          <w:lang w:val="nl-BE"/>
        </w:rPr>
        <w:t>Indien de elektronische gegevensoverdracht niet slaagt, reiken deze instellingen aan de gepensioneerden papieren verklaringen uit. Deze verklaringen moeten door de gepensioneerden worden overhandigd aan de V.I. waarbij zij zijn aangesloten. Bij verlies reikt de afdeling administratieve toegankelijkheidsgegevens van de Dienst voor administratieve controle (DAC) een duplicaat uit.</w:t>
      </w:r>
    </w:p>
    <w:p w14:paraId="07000077" w14:textId="77777777" w:rsidR="00B01A8D" w:rsidRDefault="00B01A8D" w:rsidP="00B01A8D">
      <w:pPr>
        <w:jc w:val="both"/>
        <w:rPr>
          <w:rFonts w:cs="Arial"/>
          <w:lang w:val="nl-BE"/>
        </w:rPr>
      </w:pPr>
      <w:r>
        <w:rPr>
          <w:rFonts w:cs="Arial"/>
          <w:lang w:val="nl-BE"/>
        </w:rPr>
        <w:t>Deze elektronische attesten met de betekenis van de codes (die onder meer aanduiden over welk type gepensioneerde het gaat en welk soort pensioenrechten hij/zij heeft), alsmede het model van de papieren verklaringen die worden uitgereikt wanneer de elektronische stroom niet slaagt, worden nader omschreven in de omzendbrief V.I. nr. 2014/432 van 5 november 2014.</w:t>
      </w:r>
    </w:p>
    <w:p w14:paraId="261E7D3E" w14:textId="77777777" w:rsidR="00B01A8D" w:rsidRDefault="00B01A8D" w:rsidP="00B01A8D">
      <w:pPr>
        <w:jc w:val="both"/>
        <w:rPr>
          <w:rFonts w:cs="Arial"/>
          <w:lang w:val="nl-BE"/>
        </w:rPr>
      </w:pPr>
    </w:p>
    <w:p w14:paraId="7AB78D36" w14:textId="77777777" w:rsidR="00B01A8D" w:rsidRDefault="00B01A8D" w:rsidP="00B01A8D">
      <w:pPr>
        <w:jc w:val="both"/>
        <w:rPr>
          <w:rFonts w:cs="Arial"/>
          <w:lang w:val="nl-BE"/>
        </w:rPr>
      </w:pPr>
    </w:p>
    <w:p w14:paraId="6EB13AB7" w14:textId="77777777" w:rsidR="00B01A8D" w:rsidRDefault="00B01A8D" w:rsidP="00B01A8D">
      <w:pPr>
        <w:jc w:val="both"/>
        <w:rPr>
          <w:rFonts w:cs="Arial"/>
          <w:lang w:val="nl-BE"/>
        </w:rPr>
      </w:pPr>
    </w:p>
    <w:p w14:paraId="2026601D" w14:textId="77777777" w:rsidR="00B01A8D" w:rsidRPr="0073095A" w:rsidRDefault="00B01A8D" w:rsidP="00B01A8D">
      <w:pPr>
        <w:numPr>
          <w:ilvl w:val="1"/>
          <w:numId w:val="2"/>
        </w:numPr>
        <w:tabs>
          <w:tab w:val="left" w:pos="426"/>
        </w:tabs>
        <w:spacing w:after="0" w:line="240" w:lineRule="auto"/>
        <w:ind w:left="426" w:hanging="426"/>
        <w:contextualSpacing/>
        <w:jc w:val="both"/>
        <w:rPr>
          <w:rFonts w:eastAsia="Times New Roman" w:cs="Arial"/>
          <w:b/>
          <w:szCs w:val="28"/>
          <w:lang w:val="nl-BE"/>
        </w:rPr>
      </w:pPr>
      <w:r w:rsidRPr="0073095A">
        <w:rPr>
          <w:rFonts w:eastAsia="Times New Roman" w:cs="Arial"/>
          <w:b/>
          <w:szCs w:val="28"/>
          <w:lang w:val="nl-BE"/>
        </w:rPr>
        <w:t>Invaliden met recht op een invaliditeitsuitkering</w:t>
      </w:r>
    </w:p>
    <w:p w14:paraId="7B420615" w14:textId="77777777" w:rsidR="00B01A8D" w:rsidRDefault="00B01A8D" w:rsidP="00B01A8D">
      <w:pPr>
        <w:tabs>
          <w:tab w:val="left" w:pos="426"/>
        </w:tabs>
        <w:spacing w:after="0" w:line="240" w:lineRule="auto"/>
        <w:ind w:left="426"/>
        <w:contextualSpacing/>
        <w:jc w:val="both"/>
        <w:rPr>
          <w:rFonts w:eastAsia="Times New Roman" w:cs="Arial"/>
          <w:b/>
          <w:sz w:val="18"/>
          <w:lang w:val="nl-BE"/>
        </w:rPr>
      </w:pPr>
    </w:p>
    <w:p w14:paraId="2EF053C2" w14:textId="77777777" w:rsidR="00B01A8D" w:rsidRDefault="00B01A8D" w:rsidP="00B01A8D">
      <w:pPr>
        <w:jc w:val="both"/>
        <w:rPr>
          <w:rFonts w:cs="Arial"/>
          <w:lang w:val="nl-BE"/>
        </w:rPr>
      </w:pPr>
      <w:r>
        <w:rPr>
          <w:rFonts w:cs="Arial"/>
          <w:lang w:val="nl-BE"/>
        </w:rPr>
        <w:t>Het gaat om invaliden die recht hebben op een invaliditeitsuitkering in de zin van artikel 93 van de GVU</w:t>
      </w:r>
      <w:r>
        <w:rPr>
          <w:rFonts w:cs="Arial"/>
          <w:lang w:val="nl-BE"/>
        </w:rPr>
        <w:noBreakHyphen/>
        <w:t>wet, en om zelfstandigen in het invaliditeitstijdvak, die recht hebben op een invaliditeitsuitkering.</w:t>
      </w:r>
    </w:p>
    <w:p w14:paraId="54CA0454" w14:textId="77777777" w:rsidR="00B01A8D" w:rsidRDefault="00B01A8D" w:rsidP="00B01A8D">
      <w:pPr>
        <w:jc w:val="both"/>
        <w:rPr>
          <w:rFonts w:cs="Arial"/>
          <w:lang w:val="nl-BE"/>
        </w:rPr>
      </w:pPr>
      <w:r>
        <w:rPr>
          <w:rFonts w:cs="Arial"/>
          <w:lang w:val="nl-BE"/>
        </w:rPr>
        <w:t>De voormelde omzendbrief V.I. nr. 2022/132 van 27 april 2022 van de Dienst voor geneeskundige verzorging preciseert nader welke personen als rechthebbende op een invaliditeitsuitkering worden beschouwd, en bepaalt ook welke personen toch als rechthebbende op een invaliditeitsuitkering worden beschouwd terwijl zij geen effectief recht hebben op invaliditeitsuitkeringen.</w:t>
      </w:r>
    </w:p>
    <w:p w14:paraId="6514F5F6" w14:textId="77777777" w:rsidR="00B01A8D" w:rsidRDefault="00B01A8D" w:rsidP="00B01A8D">
      <w:pPr>
        <w:jc w:val="both"/>
        <w:rPr>
          <w:rFonts w:cs="Arial"/>
          <w:lang w:val="nl-BE"/>
        </w:rPr>
      </w:pPr>
      <w:r>
        <w:rPr>
          <w:rFonts w:cs="Arial"/>
          <w:lang w:val="nl-BE"/>
        </w:rPr>
        <w:t>De V.I. zijn als uitbetalingsinstellingen van de invaliditeitsuitkeringen zelf de authentieke bron van de gegevens over de hier bedoelde situaties, en dus moeten geen externe bewijsstukken worden voorzien.</w:t>
      </w:r>
    </w:p>
    <w:p w14:paraId="702CCA56" w14:textId="77777777" w:rsidR="00B01A8D" w:rsidRDefault="00B01A8D" w:rsidP="00B01A8D">
      <w:pPr>
        <w:jc w:val="both"/>
        <w:rPr>
          <w:rFonts w:cs="Arial"/>
          <w:lang w:val="nl-BE"/>
        </w:rPr>
      </w:pPr>
      <w:r>
        <w:rPr>
          <w:rFonts w:cs="Arial"/>
          <w:lang w:val="nl-BE"/>
        </w:rPr>
        <w:t xml:space="preserve">Deze indicator biedt naast de mogelijkheid om het recht te openen zonder referentieperiode van één jaar ook de mogelijkheid om het recht ambtshalve te openen door de verzekeringsinstellingen, indien ook aan de andere criteria die daarvoor nodig zijn, wordt voldaan. </w:t>
      </w:r>
    </w:p>
    <w:p w14:paraId="015B3BA2" w14:textId="77777777" w:rsidR="00B01A8D" w:rsidRPr="0073095A" w:rsidRDefault="00B01A8D" w:rsidP="00B01A8D">
      <w:pPr>
        <w:numPr>
          <w:ilvl w:val="1"/>
          <w:numId w:val="2"/>
        </w:numPr>
        <w:tabs>
          <w:tab w:val="left" w:pos="426"/>
        </w:tabs>
        <w:spacing w:after="0" w:line="240" w:lineRule="auto"/>
        <w:ind w:left="426" w:hanging="426"/>
        <w:contextualSpacing/>
        <w:jc w:val="both"/>
        <w:rPr>
          <w:rFonts w:eastAsia="Times New Roman" w:cs="Arial"/>
          <w:szCs w:val="28"/>
          <w:lang w:val="nl-BE"/>
        </w:rPr>
      </w:pPr>
      <w:r w:rsidRPr="0073095A">
        <w:rPr>
          <w:rFonts w:eastAsia="Times New Roman" w:cs="Arial"/>
          <w:b/>
          <w:szCs w:val="28"/>
          <w:lang w:val="nl-BE"/>
        </w:rPr>
        <w:t xml:space="preserve">Overheidspersoneelsleden in disponibiliteit </w:t>
      </w:r>
      <w:r w:rsidRPr="0073095A">
        <w:rPr>
          <w:rStyle w:val="Appelnotedebasdep"/>
          <w:rFonts w:eastAsia="Times New Roman" w:cs="Arial"/>
          <w:szCs w:val="28"/>
          <w:lang w:val="nl-BE"/>
        </w:rPr>
        <w:footnoteReference w:id="5"/>
      </w:r>
    </w:p>
    <w:p w14:paraId="240B6908" w14:textId="77777777" w:rsidR="00B01A8D" w:rsidRDefault="00B01A8D" w:rsidP="00B01A8D">
      <w:pPr>
        <w:tabs>
          <w:tab w:val="left" w:pos="426"/>
        </w:tabs>
        <w:spacing w:after="0" w:line="240" w:lineRule="auto"/>
        <w:ind w:left="426"/>
        <w:contextualSpacing/>
        <w:jc w:val="both"/>
        <w:rPr>
          <w:rFonts w:eastAsia="Times New Roman" w:cs="Arial"/>
          <w:sz w:val="18"/>
          <w:lang w:val="nl-BE"/>
        </w:rPr>
      </w:pPr>
    </w:p>
    <w:p w14:paraId="64C90DB4" w14:textId="77777777" w:rsidR="00B01A8D" w:rsidRDefault="00B01A8D" w:rsidP="00B01A8D">
      <w:pPr>
        <w:jc w:val="both"/>
        <w:rPr>
          <w:rFonts w:cs="Arial"/>
          <w:lang w:val="nl-BE"/>
        </w:rPr>
      </w:pPr>
      <w:r>
        <w:rPr>
          <w:rFonts w:cs="Arial"/>
          <w:lang w:val="nl-BE"/>
        </w:rPr>
        <w:t>Het gaat om personeelsleden van de publieke sector die sedert ten minste 3 maanden in disponibiliteit zijn. Voor de bepaling van die periode van 3 maanden wordt de eventuele ongeschiktheidsperiode die voorafgaat aan de disponibiliteit in aanmerking genomen</w:t>
      </w:r>
      <w:r>
        <w:rPr>
          <w:rStyle w:val="Appelnotedebasdep"/>
          <w:rFonts w:cs="Arial"/>
          <w:lang w:val="nl-BE"/>
        </w:rPr>
        <w:footnoteReference w:id="6"/>
      </w:r>
      <w:r>
        <w:rPr>
          <w:rFonts w:cs="Arial"/>
          <w:lang w:val="nl-BE"/>
        </w:rPr>
        <w:t xml:space="preserve">. </w:t>
      </w:r>
    </w:p>
    <w:p w14:paraId="101FA7C5" w14:textId="77777777" w:rsidR="00B01A8D" w:rsidRDefault="00B01A8D" w:rsidP="00B01A8D">
      <w:pPr>
        <w:jc w:val="both"/>
        <w:rPr>
          <w:rFonts w:cs="Arial"/>
          <w:i/>
          <w:lang w:val="nl-NL"/>
        </w:rPr>
      </w:pPr>
      <w:r>
        <w:rPr>
          <w:rFonts w:cs="Arial"/>
          <w:lang w:val="nl-BE"/>
        </w:rPr>
        <w:t>De disponibiliteit wordt bewezen door een attest, dat aan de personeelsleden in disponibiliteit wordt toegezonden door de bevoegde dienst.</w:t>
      </w:r>
    </w:p>
    <w:p w14:paraId="2973E59E" w14:textId="77777777" w:rsidR="00B01A8D" w:rsidRPr="0073095A" w:rsidRDefault="00B01A8D" w:rsidP="00B01A8D">
      <w:pPr>
        <w:numPr>
          <w:ilvl w:val="1"/>
          <w:numId w:val="2"/>
        </w:numPr>
        <w:tabs>
          <w:tab w:val="left" w:pos="426"/>
        </w:tabs>
        <w:spacing w:after="0" w:line="240" w:lineRule="auto"/>
        <w:ind w:left="426" w:hanging="426"/>
        <w:contextualSpacing/>
        <w:jc w:val="both"/>
        <w:rPr>
          <w:rFonts w:eastAsia="Times New Roman" w:cs="Arial"/>
          <w:b/>
          <w:szCs w:val="28"/>
          <w:lang w:val="nl-BE"/>
        </w:rPr>
      </w:pPr>
      <w:r w:rsidRPr="0073095A">
        <w:rPr>
          <w:rFonts w:eastAsia="Times New Roman" w:cs="Arial"/>
          <w:b/>
          <w:szCs w:val="28"/>
          <w:lang w:val="nl-BE"/>
        </w:rPr>
        <w:t>Militairen in tijdelijke ambtsontheffing</w:t>
      </w:r>
    </w:p>
    <w:p w14:paraId="5E3CA8F3" w14:textId="77777777" w:rsidR="00B01A8D" w:rsidRDefault="00B01A8D" w:rsidP="00B01A8D">
      <w:pPr>
        <w:tabs>
          <w:tab w:val="left" w:pos="426"/>
        </w:tabs>
        <w:spacing w:after="0" w:line="240" w:lineRule="auto"/>
        <w:ind w:left="426"/>
        <w:contextualSpacing/>
        <w:jc w:val="both"/>
        <w:rPr>
          <w:rFonts w:eastAsia="Times New Roman" w:cs="Arial"/>
          <w:b/>
          <w:sz w:val="18"/>
          <w:lang w:val="nl-BE"/>
        </w:rPr>
      </w:pPr>
    </w:p>
    <w:p w14:paraId="582A6837" w14:textId="77777777" w:rsidR="00B01A8D" w:rsidRDefault="00B01A8D" w:rsidP="00B01A8D">
      <w:pPr>
        <w:jc w:val="both"/>
        <w:rPr>
          <w:rFonts w:cs="Arial"/>
          <w:lang w:val="nl-BE"/>
        </w:rPr>
      </w:pPr>
      <w:r>
        <w:rPr>
          <w:rFonts w:cs="Arial"/>
          <w:lang w:val="nl-BE"/>
        </w:rPr>
        <w:t xml:space="preserve">Het gaat om een militair die om gezondheidsredenen tijdelijk uit zijn ambt is ontheven wanneer die periode van ambtsontheffing 3 maanden bereikt. De bewijsmodaliteiten van deze situatie en de in aanmerking te nemen attesten, zijn beschreven in omzendbrief V.I. nr. 2009/335 van 18 augustus 2009. </w:t>
      </w:r>
    </w:p>
    <w:p w14:paraId="6DECDC12" w14:textId="77777777" w:rsidR="00B01A8D" w:rsidRDefault="00B01A8D" w:rsidP="00B01A8D">
      <w:pPr>
        <w:spacing w:after="0" w:line="240" w:lineRule="auto"/>
        <w:rPr>
          <w:rFonts w:cs="Arial"/>
          <w:lang w:val="nl-BE"/>
        </w:rPr>
      </w:pPr>
    </w:p>
    <w:p w14:paraId="32C3936E" w14:textId="77777777" w:rsidR="00B01A8D" w:rsidRDefault="00B01A8D" w:rsidP="00B01A8D">
      <w:pPr>
        <w:spacing w:after="0" w:line="240" w:lineRule="auto"/>
        <w:rPr>
          <w:rFonts w:cs="Arial"/>
          <w:lang w:val="nl-BE"/>
        </w:rPr>
      </w:pPr>
    </w:p>
    <w:p w14:paraId="13FBA43A" w14:textId="77777777" w:rsidR="00B01A8D" w:rsidRDefault="00B01A8D" w:rsidP="00B01A8D">
      <w:pPr>
        <w:spacing w:after="0" w:line="240" w:lineRule="auto"/>
        <w:rPr>
          <w:rFonts w:cs="Arial"/>
          <w:lang w:val="nl-BE"/>
        </w:rPr>
      </w:pPr>
    </w:p>
    <w:p w14:paraId="37D80090" w14:textId="77777777" w:rsidR="00B01A8D" w:rsidRDefault="00B01A8D" w:rsidP="00B01A8D">
      <w:pPr>
        <w:spacing w:after="0" w:line="240" w:lineRule="auto"/>
        <w:rPr>
          <w:rFonts w:cs="Arial"/>
          <w:lang w:val="nl-BE"/>
        </w:rPr>
      </w:pPr>
    </w:p>
    <w:p w14:paraId="749A76B1" w14:textId="77777777" w:rsidR="00B01A8D" w:rsidRDefault="00B01A8D" w:rsidP="00B01A8D">
      <w:pPr>
        <w:spacing w:after="0" w:line="240" w:lineRule="auto"/>
        <w:rPr>
          <w:rFonts w:cs="Arial"/>
          <w:lang w:val="nl-BE"/>
        </w:rPr>
      </w:pPr>
    </w:p>
    <w:p w14:paraId="64C85118" w14:textId="77777777" w:rsidR="00B01A8D" w:rsidRDefault="00B01A8D" w:rsidP="00B01A8D">
      <w:pPr>
        <w:spacing w:after="0" w:line="240" w:lineRule="auto"/>
        <w:rPr>
          <w:rFonts w:cs="Arial"/>
          <w:lang w:val="nl-BE"/>
        </w:rPr>
      </w:pPr>
    </w:p>
    <w:p w14:paraId="73DBFC07" w14:textId="77777777" w:rsidR="00B01A8D" w:rsidRDefault="00B01A8D" w:rsidP="00B01A8D">
      <w:pPr>
        <w:spacing w:after="0" w:line="240" w:lineRule="auto"/>
        <w:rPr>
          <w:rFonts w:cs="Arial"/>
          <w:lang w:val="nl-BE"/>
        </w:rPr>
      </w:pPr>
    </w:p>
    <w:p w14:paraId="5960917A" w14:textId="77777777" w:rsidR="00B01A8D" w:rsidRDefault="00B01A8D" w:rsidP="00B01A8D">
      <w:pPr>
        <w:spacing w:after="0" w:line="240" w:lineRule="auto"/>
        <w:rPr>
          <w:rFonts w:cs="Arial"/>
          <w:lang w:val="nl-BE"/>
        </w:rPr>
      </w:pPr>
    </w:p>
    <w:p w14:paraId="0274DF73" w14:textId="77777777" w:rsidR="00B01A8D" w:rsidRDefault="00B01A8D" w:rsidP="00B01A8D">
      <w:pPr>
        <w:spacing w:after="0" w:line="240" w:lineRule="auto"/>
        <w:rPr>
          <w:rFonts w:cs="Arial"/>
          <w:lang w:val="nl-BE"/>
        </w:rPr>
      </w:pPr>
    </w:p>
    <w:p w14:paraId="58ACE13E" w14:textId="77777777" w:rsidR="00B01A8D" w:rsidRDefault="00B01A8D" w:rsidP="00B01A8D">
      <w:pPr>
        <w:spacing w:after="0" w:line="240" w:lineRule="auto"/>
        <w:rPr>
          <w:rFonts w:cs="Arial"/>
          <w:lang w:val="nl-BE"/>
        </w:rPr>
      </w:pPr>
    </w:p>
    <w:p w14:paraId="7B49F6A4" w14:textId="77777777" w:rsidR="00B01A8D" w:rsidRPr="0073095A" w:rsidRDefault="00B01A8D" w:rsidP="00B01A8D">
      <w:pPr>
        <w:numPr>
          <w:ilvl w:val="1"/>
          <w:numId w:val="2"/>
        </w:numPr>
        <w:tabs>
          <w:tab w:val="left" w:pos="426"/>
        </w:tabs>
        <w:spacing w:after="0" w:line="240" w:lineRule="auto"/>
        <w:ind w:left="426" w:hanging="426"/>
        <w:contextualSpacing/>
        <w:jc w:val="both"/>
        <w:rPr>
          <w:rFonts w:eastAsia="SimSun" w:cs="Arial"/>
          <w:szCs w:val="28"/>
          <w:lang w:val="nl-BE"/>
        </w:rPr>
      </w:pPr>
      <w:r w:rsidRPr="0073095A">
        <w:rPr>
          <w:rFonts w:eastAsia="Times New Roman" w:cs="Arial"/>
          <w:b/>
          <w:szCs w:val="28"/>
          <w:lang w:val="nl-BE"/>
        </w:rPr>
        <w:t xml:space="preserve">Verzekerden die </w:t>
      </w:r>
      <w:r w:rsidRPr="0073095A">
        <w:rPr>
          <w:rFonts w:eastAsia="SimSun" w:cs="Arial"/>
          <w:b/>
          <w:szCs w:val="28"/>
          <w:lang w:val="nl-BE"/>
        </w:rPr>
        <w:t>arbeidsongeschikt zijn of een werkloze zijn in gecontroleerde werkloosheid</w:t>
      </w:r>
      <w:r w:rsidRPr="0073095A">
        <w:rPr>
          <w:rStyle w:val="Appelnotedebasdep"/>
          <w:rFonts w:eastAsia="SimSun" w:cs="Arial"/>
          <w:szCs w:val="28"/>
          <w:lang w:val="nl-BE"/>
        </w:rPr>
        <w:footnoteReference w:id="7"/>
      </w:r>
    </w:p>
    <w:p w14:paraId="5F87F0BB" w14:textId="77777777" w:rsidR="00B01A8D" w:rsidRDefault="00B01A8D" w:rsidP="00B01A8D">
      <w:pPr>
        <w:tabs>
          <w:tab w:val="left" w:pos="426"/>
        </w:tabs>
        <w:spacing w:after="0" w:line="240" w:lineRule="auto"/>
        <w:ind w:left="426"/>
        <w:contextualSpacing/>
        <w:jc w:val="both"/>
        <w:rPr>
          <w:rFonts w:eastAsia="SimSun" w:cs="Arial"/>
          <w:sz w:val="18"/>
          <w:lang w:val="nl-BE"/>
        </w:rPr>
      </w:pPr>
    </w:p>
    <w:p w14:paraId="7D2B1936" w14:textId="77777777" w:rsidR="00B01A8D" w:rsidRDefault="00B01A8D" w:rsidP="00B01A8D">
      <w:pPr>
        <w:tabs>
          <w:tab w:val="left" w:pos="426"/>
        </w:tabs>
        <w:contextualSpacing/>
        <w:jc w:val="both"/>
        <w:rPr>
          <w:rFonts w:eastAsia="SimSun" w:cs="Arial"/>
          <w:lang w:val="nl-BE"/>
        </w:rPr>
      </w:pPr>
      <w:r>
        <w:rPr>
          <w:rFonts w:eastAsia="SimSun" w:cs="Arial"/>
          <w:lang w:val="nl-BE"/>
        </w:rPr>
        <w:t xml:space="preserve">Op voorwaarde dat hij sedert minstens 3 maanden ononderbroken arbeidsongeschikt of volledig werkloos is </w:t>
      </w:r>
      <w:r>
        <w:rPr>
          <w:rStyle w:val="Appelnotedebasdep"/>
          <w:rFonts w:eastAsia="SimSun" w:cs="Arial"/>
          <w:lang w:val="nl-BE"/>
        </w:rPr>
        <w:footnoteReference w:id="8"/>
      </w:r>
      <w:r>
        <w:rPr>
          <w:rFonts w:eastAsia="SimSun" w:cs="Arial"/>
          <w:lang w:val="nl-BE"/>
        </w:rPr>
        <w:t>, worden de periodes van arbeidsongeschiktheid en van volledige werkloosheid bij elkaar opgeteld om te bepalen of de duur van 3 maanden wordt bereikt. Het volstaat dat de verzekerde op het moment van de aanvraag arbeidsongeschikt of volledig werkloos is en dat de duur van 3 maanden wordt bereikt.</w:t>
      </w:r>
      <w:r>
        <w:rPr>
          <w:rStyle w:val="Appelnotedebasdep"/>
          <w:rFonts w:eastAsia="SimSun" w:cs="Arial"/>
          <w:lang w:val="nl-BE"/>
        </w:rPr>
        <w:footnoteReference w:id="9"/>
      </w:r>
    </w:p>
    <w:p w14:paraId="7973204E" w14:textId="77777777" w:rsidR="00B01A8D" w:rsidRDefault="00B01A8D" w:rsidP="00B01A8D">
      <w:pPr>
        <w:tabs>
          <w:tab w:val="left" w:pos="426"/>
        </w:tabs>
        <w:contextualSpacing/>
        <w:jc w:val="both"/>
        <w:rPr>
          <w:rFonts w:eastAsia="SimSun" w:cs="Arial"/>
          <w:lang w:val="nl-BE"/>
        </w:rPr>
      </w:pPr>
    </w:p>
    <w:p w14:paraId="50AB3B8F" w14:textId="77777777" w:rsidR="00B01A8D" w:rsidRDefault="00B01A8D" w:rsidP="00B01A8D">
      <w:pPr>
        <w:jc w:val="both"/>
        <w:rPr>
          <w:rFonts w:cs="Arial"/>
          <w:lang w:val="nl-BE"/>
        </w:rPr>
      </w:pPr>
      <w:r>
        <w:rPr>
          <w:rFonts w:cs="Arial"/>
          <w:lang w:val="nl-BE"/>
        </w:rPr>
        <w:t>De V.I. zijn zelf houder en authentieke bron van de gegevens over de arbeidsongeschiktheid, en daarom zijn hier geen specifieke externe bewijsmiddelen nodig.</w:t>
      </w:r>
    </w:p>
    <w:p w14:paraId="5418B417" w14:textId="77777777" w:rsidR="00B01A8D" w:rsidRDefault="00B01A8D" w:rsidP="00B01A8D">
      <w:pPr>
        <w:jc w:val="both"/>
        <w:rPr>
          <w:rFonts w:cs="Arial"/>
          <w:lang w:val="nl-BE"/>
        </w:rPr>
      </w:pPr>
      <w:r>
        <w:rPr>
          <w:rFonts w:cs="Arial"/>
          <w:lang w:val="nl-BE"/>
        </w:rPr>
        <w:t>De gecontroleerde werkloosheid wordt aangetoond door middel van de gegevens uit de stroom “A012”, betreffende de hoedanigheid van werkloze (bewijs van werkloosheid of van rechthebbende op een loopbaanonderbrekingsuitkering) - zoals verder toegelicht in de omzendbrief V.I. nr. 2019/155 van 7 mei 2019 over de bewijzen van hoedanigheid.</w:t>
      </w:r>
    </w:p>
    <w:p w14:paraId="52C1B9B6" w14:textId="77777777" w:rsidR="00B01A8D" w:rsidRDefault="00B01A8D" w:rsidP="00B01A8D">
      <w:pPr>
        <w:jc w:val="both"/>
        <w:rPr>
          <w:rFonts w:cs="Arial"/>
          <w:lang w:val="nl-BE"/>
        </w:rPr>
      </w:pPr>
      <w:r>
        <w:rPr>
          <w:rFonts w:cs="Arial"/>
          <w:lang w:val="nl-BE"/>
        </w:rPr>
        <w:t xml:space="preserve">De dagen volledige werkloosheid, die samengeteld moeten worden met de eventuele dagen van arbeidsongeschiktheid om te komen tot voormelde periode van tenminste 3 maanden, worden aan de V.I. meegedeeld via de stroom A003 (die sedert de hervorming van de verhoogde tegemoetkoming met het koninklijk besluit van 15 januari 2014 de dagen werkloosheid per maand meedeelt). </w:t>
      </w:r>
    </w:p>
    <w:p w14:paraId="6CFE4F69" w14:textId="77777777" w:rsidR="00B01A8D" w:rsidRDefault="00B01A8D" w:rsidP="00B01A8D">
      <w:pPr>
        <w:jc w:val="both"/>
        <w:rPr>
          <w:rFonts w:cs="Arial"/>
          <w:lang w:val="nl-BE"/>
        </w:rPr>
      </w:pPr>
      <w:r w:rsidRPr="00A64816">
        <w:rPr>
          <w:rFonts w:cs="Arial"/>
          <w:lang w:val="nl-BE"/>
        </w:rPr>
        <w:t xml:space="preserve">Deze indicator biedt naast de mogelijkheid om het recht te openen zonder referentieperiode van één jaar ook de mogelijkheid om het recht ambtshalve te openen door de verzekeringsinstellingen, indien ook aan de andere criteria die daarvoor nodig zijn, wordt voldaan. </w:t>
      </w:r>
    </w:p>
    <w:p w14:paraId="7339563E" w14:textId="77777777" w:rsidR="00B01A8D" w:rsidRDefault="00B01A8D" w:rsidP="00B01A8D">
      <w:pPr>
        <w:tabs>
          <w:tab w:val="left" w:pos="426"/>
        </w:tabs>
        <w:spacing w:after="0"/>
        <w:jc w:val="both"/>
        <w:rPr>
          <w:rFonts w:cs="Arial"/>
          <w:b/>
          <w:szCs w:val="28"/>
          <w:lang w:val="nl-BE"/>
        </w:rPr>
      </w:pPr>
      <w:r w:rsidRPr="0073095A">
        <w:rPr>
          <w:rFonts w:cs="Arial"/>
          <w:b/>
          <w:szCs w:val="28"/>
          <w:lang w:val="nl-BE"/>
        </w:rPr>
        <w:t>2</w:t>
      </w:r>
      <w:r w:rsidRPr="0073095A">
        <w:rPr>
          <w:rFonts w:cs="Arial"/>
          <w:b/>
          <w:sz w:val="20"/>
          <w:szCs w:val="28"/>
          <w:lang w:val="nl-BE"/>
        </w:rPr>
        <w:t>.</w:t>
      </w:r>
      <w:r w:rsidRPr="0073095A">
        <w:rPr>
          <w:rFonts w:cs="Arial"/>
          <w:b/>
          <w:szCs w:val="28"/>
          <w:lang w:val="nl-BE"/>
        </w:rPr>
        <w:t>6</w:t>
      </w:r>
      <w:r w:rsidRPr="0073095A">
        <w:rPr>
          <w:rFonts w:cs="Arial"/>
          <w:b/>
          <w:szCs w:val="28"/>
          <w:lang w:val="nl-BE"/>
        </w:rPr>
        <w:tab/>
        <w:t>Personen die voldoen aan de voorwaarden om als “gerechtigde met een handicap” te worden ingeschreven</w:t>
      </w:r>
    </w:p>
    <w:p w14:paraId="79AE8653" w14:textId="77777777" w:rsidR="00B01A8D" w:rsidRDefault="00B01A8D" w:rsidP="00B01A8D">
      <w:pPr>
        <w:tabs>
          <w:tab w:val="left" w:pos="426"/>
        </w:tabs>
        <w:spacing w:after="0"/>
        <w:jc w:val="both"/>
        <w:rPr>
          <w:rFonts w:cs="Arial"/>
          <w:b/>
          <w:sz w:val="18"/>
          <w:lang w:val="nl-BE"/>
        </w:rPr>
      </w:pPr>
    </w:p>
    <w:p w14:paraId="37641D75" w14:textId="77777777" w:rsidR="00B01A8D" w:rsidRPr="00DB7AEA" w:rsidRDefault="00B01A8D" w:rsidP="00B01A8D">
      <w:pPr>
        <w:tabs>
          <w:tab w:val="left" w:pos="426"/>
        </w:tabs>
        <w:jc w:val="both"/>
        <w:rPr>
          <w:rFonts w:cs="Arial"/>
          <w:lang w:val="nl-BE"/>
        </w:rPr>
      </w:pPr>
      <w:r>
        <w:rPr>
          <w:rFonts w:cs="Arial"/>
          <w:lang w:val="nl-BE"/>
        </w:rPr>
        <w:t>Bedoeld worden de personen die voldoen aan de voorwaarden om te worden ingeschreven in de hoedanigheid van gerechtigde in de zin van artikel 32, eerste lid, 13°, van de GVU – wet, en in uitvoering daarvan, artikel 128 van het koninklijk besluit van 3 juli 1996 tot uitvoering van de gecoördineerde GVU</w:t>
      </w:r>
      <w:r>
        <w:rPr>
          <w:rFonts w:cs="Arial"/>
          <w:lang w:val="nl-BE"/>
        </w:rPr>
        <w:noBreakHyphen/>
        <w:t>wet (en gewoonlijk worden aangeduid als personen met de hoedanigheid van gerechtigde met een handicap). De modaliteiten om de vervulling van die voorwaarden aan te tonen, worden vermeld in omzendbrief V.I. nr. 2014/432 van 5 november 2014.</w:t>
      </w:r>
    </w:p>
    <w:p w14:paraId="16CADC5C" w14:textId="77777777" w:rsidR="00B01A8D" w:rsidRDefault="00B01A8D" w:rsidP="00B01A8D">
      <w:pPr>
        <w:jc w:val="both"/>
        <w:rPr>
          <w:rFonts w:cs="Arial"/>
          <w:lang w:val="nl-BE"/>
        </w:rPr>
      </w:pPr>
      <w:r>
        <w:rPr>
          <w:rFonts w:cs="Arial"/>
          <w:lang w:val="nl-BE"/>
        </w:rPr>
        <w:t xml:space="preserve">Samengevat gaat het om volgende bewijzen, al naargelang de oorsprong van de erkenning van de vermindering van het verdienvermogen, bedoeld in artikel 32, eerste lid, 13° van de GVU- wet </w:t>
      </w:r>
    </w:p>
    <w:p w14:paraId="7F747A81" w14:textId="77777777" w:rsidR="00B01A8D" w:rsidRPr="00C140C2" w:rsidRDefault="00B01A8D" w:rsidP="00B01A8D">
      <w:pPr>
        <w:pStyle w:val="Paragraphedeliste"/>
        <w:numPr>
          <w:ilvl w:val="0"/>
          <w:numId w:val="4"/>
        </w:numPr>
        <w:spacing w:after="0" w:line="240" w:lineRule="auto"/>
        <w:jc w:val="both"/>
        <w:rPr>
          <w:rFonts w:eastAsia="Times New Roman" w:cs="Arial"/>
          <w:lang w:val="nl-BE"/>
        </w:rPr>
      </w:pPr>
      <w:r w:rsidRPr="00C140C2">
        <w:rPr>
          <w:rFonts w:eastAsia="Times New Roman" w:cs="Arial"/>
          <w:lang w:val="nl-BE"/>
        </w:rPr>
        <w:t>voor de erkenning door de geneesheer–inspecteur van de Dienst voor geneeskundige evaluatie en controle: het attest van die dienst omtrent de erkenning (attest opgenomen in bijlage bij omzendbrief V.I. nr. 2014/432 van 5 november 2014);</w:t>
      </w:r>
    </w:p>
    <w:p w14:paraId="328C92D6" w14:textId="77777777" w:rsidR="00B01A8D" w:rsidRPr="00C140C2" w:rsidRDefault="00B01A8D" w:rsidP="00B01A8D">
      <w:pPr>
        <w:pStyle w:val="Paragraphedeliste"/>
        <w:numPr>
          <w:ilvl w:val="0"/>
          <w:numId w:val="4"/>
        </w:numPr>
        <w:spacing w:after="0" w:line="240" w:lineRule="auto"/>
        <w:jc w:val="both"/>
        <w:rPr>
          <w:rFonts w:eastAsia="Times New Roman" w:cs="Arial"/>
          <w:lang w:val="nl-BE"/>
        </w:rPr>
      </w:pPr>
      <w:r w:rsidRPr="00C140C2">
        <w:rPr>
          <w:rFonts w:eastAsia="Times New Roman" w:cs="Arial"/>
          <w:lang w:val="nl-BE"/>
        </w:rPr>
        <w:t>voor de medische erkenningen van kinderen met een handicap: de gegevens over die erkenning worden aan de V.I. meegedeeld met de stroom A652 (stroom tot bewijs van de medische vaststelling van kind met een handicap);</w:t>
      </w:r>
    </w:p>
    <w:p w14:paraId="55E9EBD7" w14:textId="77777777" w:rsidR="00B01A8D" w:rsidRPr="00C140C2" w:rsidRDefault="00B01A8D" w:rsidP="00B01A8D">
      <w:pPr>
        <w:pStyle w:val="Paragraphedeliste"/>
        <w:numPr>
          <w:ilvl w:val="0"/>
          <w:numId w:val="4"/>
        </w:numPr>
        <w:spacing w:after="0" w:line="240" w:lineRule="auto"/>
        <w:jc w:val="both"/>
        <w:rPr>
          <w:rFonts w:eastAsia="Times New Roman" w:cs="Arial"/>
          <w:lang w:val="nl-BE"/>
        </w:rPr>
      </w:pPr>
      <w:r w:rsidRPr="00C140C2">
        <w:rPr>
          <w:rFonts w:eastAsia="Times New Roman" w:cs="Arial"/>
          <w:lang w:val="nl-BE"/>
        </w:rPr>
        <w:lastRenderedPageBreak/>
        <w:t>voor de erkenning van ongeschiktheid in het raam van de wet van 27 februari 1987 betreffende de tegemoetkomingen aan personen met een handicap: de stroom “A023” (oorspronkelijk opgevat voor de analoge bewijzen dat verzekerden de medische voorwaarden vervullen om in aanmerking te komen voor het zorgforfait voor chronisch zieken).</w:t>
      </w:r>
    </w:p>
    <w:p w14:paraId="0A09779E" w14:textId="77777777" w:rsidR="00B01A8D" w:rsidRDefault="00B01A8D" w:rsidP="00B01A8D">
      <w:pPr>
        <w:spacing w:after="0" w:line="240" w:lineRule="auto"/>
        <w:contextualSpacing/>
        <w:jc w:val="both"/>
        <w:rPr>
          <w:rFonts w:eastAsia="Times New Roman" w:cs="Arial"/>
          <w:lang w:val="nl-BE"/>
        </w:rPr>
      </w:pPr>
    </w:p>
    <w:p w14:paraId="283E9A14" w14:textId="77777777" w:rsidR="00B01A8D" w:rsidRDefault="00B01A8D" w:rsidP="00B01A8D">
      <w:pPr>
        <w:numPr>
          <w:ilvl w:val="1"/>
          <w:numId w:val="3"/>
        </w:numPr>
        <w:tabs>
          <w:tab w:val="left" w:pos="426"/>
        </w:tabs>
        <w:spacing w:after="0" w:line="240" w:lineRule="auto"/>
        <w:ind w:left="426" w:hanging="426"/>
        <w:contextualSpacing/>
        <w:jc w:val="both"/>
        <w:rPr>
          <w:rFonts w:eastAsia="Times New Roman" w:cs="Arial"/>
          <w:sz w:val="18"/>
          <w:lang w:val="nl-BE"/>
        </w:rPr>
      </w:pPr>
      <w:r w:rsidRPr="0073095A">
        <w:rPr>
          <w:rFonts w:eastAsia="Times New Roman" w:cs="Arial"/>
          <w:b/>
          <w:szCs w:val="28"/>
          <w:lang w:val="nl-BE"/>
        </w:rPr>
        <w:t>Weduwnaars of weduwen</w:t>
      </w:r>
    </w:p>
    <w:p w14:paraId="04A9B528" w14:textId="77777777" w:rsidR="00B01A8D" w:rsidRDefault="00B01A8D" w:rsidP="00B01A8D">
      <w:pPr>
        <w:tabs>
          <w:tab w:val="left" w:pos="426"/>
        </w:tabs>
        <w:spacing w:after="0" w:line="240" w:lineRule="auto"/>
        <w:ind w:left="426"/>
        <w:contextualSpacing/>
        <w:jc w:val="both"/>
        <w:rPr>
          <w:rFonts w:eastAsia="Times New Roman" w:cs="Arial"/>
          <w:sz w:val="18"/>
          <w:lang w:val="nl-BE"/>
        </w:rPr>
      </w:pPr>
    </w:p>
    <w:p w14:paraId="7D97625F" w14:textId="77777777" w:rsidR="00B01A8D" w:rsidRDefault="00B01A8D" w:rsidP="00B01A8D">
      <w:pPr>
        <w:jc w:val="both"/>
        <w:rPr>
          <w:rFonts w:cs="Arial"/>
          <w:lang w:val="nl-BE"/>
        </w:rPr>
      </w:pPr>
      <w:r>
        <w:rPr>
          <w:rFonts w:cs="Arial"/>
          <w:lang w:val="nl-BE"/>
        </w:rPr>
        <w:t>Tot 1 januari 2022 werd met de indicator weduwnaar of weduwe in het kader van de V.T. de persoon bedoeld van wie de echtgeno(o)t(e) is overleden en die geen nieuw huwelijk is aangegaan of geen verklaring van wettelijke samenwoning heeft gedaan.</w:t>
      </w:r>
    </w:p>
    <w:p w14:paraId="33A5C21C" w14:textId="77777777" w:rsidR="00B01A8D" w:rsidRDefault="00B01A8D" w:rsidP="00B01A8D">
      <w:pPr>
        <w:jc w:val="both"/>
        <w:rPr>
          <w:rFonts w:cs="Arial"/>
          <w:lang w:val="nl-BE"/>
        </w:rPr>
      </w:pPr>
      <w:r>
        <w:rPr>
          <w:rFonts w:cs="Arial"/>
          <w:lang w:val="nl-BE"/>
        </w:rPr>
        <w:t>Voor personen die ingeschreven zijn in de Belgische Bevolkingsregisters, kan de burgerlijke staat uit het Rijksregister afgeleid worden.</w:t>
      </w:r>
    </w:p>
    <w:p w14:paraId="79147FB7" w14:textId="77777777" w:rsidR="00B01A8D" w:rsidRDefault="00B01A8D" w:rsidP="00B01A8D">
      <w:pPr>
        <w:jc w:val="both"/>
        <w:rPr>
          <w:rFonts w:cs="Arial"/>
          <w:lang w:val="nl-BE"/>
        </w:rPr>
      </w:pPr>
      <w:r>
        <w:rPr>
          <w:rFonts w:cs="Arial"/>
          <w:lang w:val="nl-BE"/>
        </w:rPr>
        <w:t xml:space="preserve">Voorbeeld: </w:t>
      </w:r>
    </w:p>
    <w:p w14:paraId="22747DA1" w14:textId="77777777" w:rsidR="00B01A8D" w:rsidRDefault="00B01A8D" w:rsidP="00B01A8D">
      <w:pPr>
        <w:spacing w:before="120"/>
        <w:jc w:val="both"/>
        <w:rPr>
          <w:rFonts w:cs="Arial"/>
          <w:lang w:val="nl-BE"/>
        </w:rPr>
      </w:pPr>
      <w:r>
        <w:rPr>
          <w:rFonts w:cs="Arial"/>
          <w:lang w:val="nl-BE"/>
        </w:rPr>
        <w:t>Een gerechtigde student overlijdt. Zijn echtgenote stond bij hem ten laste. Zelfs als de overlevende echtgenoot op basis van zijn “burgerlijke staat” geen overlevingspensioen ontvangt, kan hij als weduwe ingeschreven worden. Dit kan op basis van het informatiegegeven in het Rijksregister, of op basis van een attest waaruit het overlijden van de echtgenoot blijkt.</w:t>
      </w:r>
    </w:p>
    <w:p w14:paraId="6A043D90" w14:textId="77777777" w:rsidR="00B01A8D" w:rsidRDefault="00B01A8D" w:rsidP="00B01A8D">
      <w:pPr>
        <w:spacing w:before="120"/>
        <w:jc w:val="both"/>
        <w:rPr>
          <w:rFonts w:cs="Arial"/>
          <w:lang w:val="nl-BE"/>
        </w:rPr>
      </w:pPr>
      <w:r>
        <w:rPr>
          <w:rFonts w:cs="Arial"/>
          <w:lang w:val="nl-BE"/>
        </w:rPr>
        <w:t>Deze indicator bestaat niet meer vanaf 1 januari 2022.</w:t>
      </w:r>
    </w:p>
    <w:p w14:paraId="3FBAA05E" w14:textId="77777777" w:rsidR="00B01A8D" w:rsidRPr="0073095A" w:rsidRDefault="00B01A8D" w:rsidP="00B01A8D">
      <w:pPr>
        <w:spacing w:before="120"/>
        <w:jc w:val="both"/>
        <w:rPr>
          <w:rFonts w:cs="Arial"/>
          <w:b/>
          <w:szCs w:val="28"/>
          <w:lang w:val="nl-BE"/>
        </w:rPr>
      </w:pPr>
      <w:r w:rsidRPr="0073095A">
        <w:rPr>
          <w:rFonts w:cs="Arial"/>
          <w:b/>
          <w:szCs w:val="28"/>
          <w:lang w:val="nl-BE"/>
        </w:rPr>
        <w:t>2.8. Verzekerden die genieten van een overlevingspensioen</w:t>
      </w:r>
    </w:p>
    <w:p w14:paraId="75A714EE" w14:textId="77777777" w:rsidR="00B01A8D" w:rsidRDefault="00B01A8D" w:rsidP="00B01A8D">
      <w:pPr>
        <w:spacing w:before="120"/>
        <w:jc w:val="both"/>
        <w:rPr>
          <w:rFonts w:cs="Arial"/>
          <w:lang w:val="nl-BE"/>
        </w:rPr>
      </w:pPr>
      <w:r>
        <w:rPr>
          <w:rFonts w:cs="Arial"/>
          <w:lang w:val="nl-BE"/>
        </w:rPr>
        <w:t>Vanaf 1 januari 2022 beschikken de personen die genieten van een overlevingspensioen over een indicator. Het genieten van een overgangsuitkering wordt niet beoogd als indicator.</w:t>
      </w:r>
    </w:p>
    <w:p w14:paraId="25DAE60C" w14:textId="77777777" w:rsidR="00B01A8D" w:rsidRDefault="00B01A8D" w:rsidP="00B01A8D">
      <w:pPr>
        <w:spacing w:before="120"/>
        <w:jc w:val="both"/>
        <w:rPr>
          <w:rFonts w:cs="Arial"/>
          <w:lang w:val="nl-BE"/>
        </w:rPr>
      </w:pPr>
      <w:r>
        <w:rPr>
          <w:rFonts w:cs="Arial"/>
          <w:lang w:val="nl-BE"/>
        </w:rPr>
        <w:t>Het bewijsstuk voor het overlevingspensioen is het pensioenattest overlevingspensioen dat de V.I. ontvingen in de FLUX A101 of een attest uitgereikt door het RSVZ of de SFPD geleverd door de sociaal verzekerde.</w:t>
      </w:r>
    </w:p>
    <w:p w14:paraId="59B8304D" w14:textId="77777777" w:rsidR="00B01A8D" w:rsidRDefault="00B01A8D" w:rsidP="00B01A8D">
      <w:pPr>
        <w:spacing w:before="120"/>
        <w:jc w:val="both"/>
        <w:rPr>
          <w:rFonts w:cs="Arial"/>
          <w:lang w:val="nl-BE"/>
        </w:rPr>
      </w:pPr>
      <w:r>
        <w:rPr>
          <w:rFonts w:cs="Arial"/>
          <w:lang w:val="nl-BE"/>
        </w:rPr>
        <w:t>Het gaat om pensioenattesten met code 05 (Overlevingspensioen +1/3) en code 90 (Overlevingspensioen – 1/3). Zie Bijlage 2.</w:t>
      </w:r>
    </w:p>
    <w:p w14:paraId="0A21E0EE" w14:textId="77777777" w:rsidR="00B01A8D" w:rsidRDefault="00B01A8D" w:rsidP="00B01A8D">
      <w:pPr>
        <w:spacing w:after="0" w:line="240" w:lineRule="auto"/>
        <w:rPr>
          <w:rFonts w:cs="Arial"/>
          <w:lang w:val="nl-BE"/>
        </w:rPr>
      </w:pPr>
      <w:r>
        <w:rPr>
          <w:rFonts w:cs="Arial"/>
          <w:lang w:val="nl-BE"/>
        </w:rPr>
        <w:br w:type="page"/>
      </w:r>
    </w:p>
    <w:p w14:paraId="50BEAD9A" w14:textId="77777777" w:rsidR="00B01A8D" w:rsidRPr="0073095A" w:rsidRDefault="00B01A8D" w:rsidP="00B01A8D">
      <w:pPr>
        <w:tabs>
          <w:tab w:val="left" w:pos="426"/>
        </w:tabs>
        <w:jc w:val="both"/>
        <w:rPr>
          <w:rFonts w:cs="Arial"/>
          <w:szCs w:val="28"/>
          <w:lang w:val="nl-BE"/>
        </w:rPr>
      </w:pPr>
      <w:r w:rsidRPr="0073095A">
        <w:rPr>
          <w:rFonts w:cs="Arial"/>
          <w:b/>
          <w:szCs w:val="28"/>
          <w:lang w:val="nl-BE"/>
        </w:rPr>
        <w:lastRenderedPageBreak/>
        <w:t>2.9.</w:t>
      </w:r>
      <w:r w:rsidRPr="0073095A">
        <w:rPr>
          <w:rFonts w:cs="Arial"/>
          <w:b/>
          <w:szCs w:val="28"/>
          <w:lang w:val="nl-BE"/>
        </w:rPr>
        <w:tab/>
        <w:t>Gerechtigden binnen een eenoudergezin</w:t>
      </w:r>
    </w:p>
    <w:p w14:paraId="3E16CE0E" w14:textId="77777777" w:rsidR="00B01A8D" w:rsidRDefault="00B01A8D" w:rsidP="00B01A8D">
      <w:pPr>
        <w:jc w:val="both"/>
        <w:rPr>
          <w:rFonts w:cs="Arial"/>
          <w:lang w:val="nl-BE"/>
        </w:rPr>
      </w:pPr>
      <w:r>
        <w:rPr>
          <w:rFonts w:cs="Arial"/>
          <w:lang w:val="nl-BE"/>
        </w:rPr>
        <w:t>Een eenoudergezin bestaat uit een gerechtigde bedoeld die, volgens de gegevens van het Rijksregister, uitsluitend samenwoont met een of meerdere kinderen die te zijnen laste zijn ingeschreven waarvan minstens één kind ingeschreven is in de hoedanigheid van kind ten laste in het gezin van één van zijn ouders of dat kind nu in een hoofdverblijfplaats samenwoont met haar ouder of in een gedeelde verblijfplaats gedurende ten minste gemiddeld twee dagen per week.  In afwijking kan de indicator van eenoudergezin ook worden toegekend aan de gerechtigde die niet de ouder is van een of meerdere kinderen met wie hij enkel samenwoont, op voorwaarde dat zij te zijnen laste zijn ingeschreven overeenkomstig artikel 123, eerste lid, 3, b) tot f) van het Koninklijk Besluit van 1996.</w:t>
      </w:r>
    </w:p>
    <w:p w14:paraId="0BEBB226" w14:textId="77777777" w:rsidR="00B01A8D" w:rsidRDefault="00B01A8D" w:rsidP="00B01A8D">
      <w:pPr>
        <w:jc w:val="both"/>
        <w:rPr>
          <w:rFonts w:cs="Arial"/>
          <w:lang w:val="nl-BE"/>
        </w:rPr>
      </w:pPr>
      <w:r>
        <w:rPr>
          <w:rFonts w:cs="Arial"/>
          <w:lang w:val="nl-BE"/>
        </w:rPr>
        <w:t>De omzendbrief V.I. 2022/132 van 27 april 2022 van de Dienst voor Geneeskundige Verzorging van het RIZIV betreffende de reglementering van de verhoogde verzekeringstegemoetkoming preciseert verder wie kan beschouwd worden als zulke gerechtigde.</w:t>
      </w:r>
    </w:p>
    <w:p w14:paraId="6C1E2515" w14:textId="77777777" w:rsidR="00B01A8D" w:rsidRDefault="00B01A8D" w:rsidP="00B01A8D">
      <w:pPr>
        <w:jc w:val="both"/>
        <w:rPr>
          <w:rFonts w:cs="Arial"/>
          <w:lang w:val="nl-BE"/>
        </w:rPr>
      </w:pPr>
      <w:r w:rsidRPr="00A64816">
        <w:rPr>
          <w:rFonts w:cs="Arial"/>
          <w:lang w:val="nl-BE"/>
        </w:rPr>
        <w:t>Met het Koninklijk Besluit van 12 mei 2024 tot wijziging van het Koninklijk Besluit van 15 januari 2014 betreffende de verhoogde verzekeringstegemoetkoming, bedoeld in artikel 37, § 19, van de wet betreffende de verplichte verzekering voor geneeskundige verzorging en uitkeringen, gecoördineerd op 14 juli 1994, werd onder meer de definitie van eenoudergezin ook verder verduidelijkt: “Het eenoudergezin bestaat uit een gerechtigde die, volgens de gegevens van het Rijksregister van de natuurlijke personen, ofwel uitsluitend samenwoont met een of meerdere kind(eren), ofwel alleen woont maar zijn kind(eren) huisvest gemiddeld ten minste twee dagen per week op hoofdzakelijk of op gedeelde basis, op voorwaarde dat in beide gevallen ten minste één kind</w:t>
      </w:r>
      <w:r w:rsidRPr="00A64816">
        <w:rPr>
          <w:lang w:val="nl-BE"/>
        </w:rPr>
        <w:t xml:space="preserve"> </w:t>
      </w:r>
      <w:r w:rsidRPr="00A64816">
        <w:rPr>
          <w:rFonts w:cs="Arial"/>
          <w:lang w:val="nl-BE"/>
        </w:rPr>
        <w:t>ingeschreven is in de hoedanigheid van kind ten laste in het gezin van een van zijn ouders.” De gegevens van het Rijksregister zijn hier bepalend.</w:t>
      </w:r>
      <w:r>
        <w:rPr>
          <w:lang w:val="nl-BE"/>
        </w:rPr>
        <w:t xml:space="preserve"> </w:t>
      </w:r>
    </w:p>
    <w:p w14:paraId="5B818931" w14:textId="77777777" w:rsidR="00B01A8D" w:rsidRDefault="00B01A8D" w:rsidP="00B01A8D">
      <w:pPr>
        <w:jc w:val="both"/>
        <w:rPr>
          <w:rFonts w:cs="Arial"/>
          <w:lang w:val="nl-BE"/>
        </w:rPr>
      </w:pPr>
      <w:r>
        <w:rPr>
          <w:rFonts w:cs="Arial"/>
          <w:lang w:val="nl-BE"/>
        </w:rPr>
        <w:t xml:space="preserve">In het kader van een gedeelde verblijfplaats bij co-ouderschap gebruikt de ouder die het kind niet als PTL heeft de Verklaring op erewoord in verband met het kind (de kinderen) dat (die) het voorwerp uitmaakt (uitmaken) van een gedeelde verblijfplaats tussen zijn (hun) ouders. </w:t>
      </w:r>
    </w:p>
    <w:p w14:paraId="137912AB" w14:textId="77777777" w:rsidR="00B01A8D" w:rsidRDefault="00B01A8D" w:rsidP="00B01A8D">
      <w:pPr>
        <w:jc w:val="both"/>
        <w:rPr>
          <w:rFonts w:cs="Arial"/>
          <w:lang w:val="nl-BE"/>
        </w:rPr>
      </w:pPr>
      <w:r>
        <w:rPr>
          <w:rFonts w:cs="Arial"/>
          <w:lang w:val="nl-BE"/>
        </w:rPr>
        <w:t>Deze verklaring bevindt zich in bijlage 3 van het K.B. van 15 maart 2022 tot wijziging van het Koninklijk Besluit van 15 januari 2014 betreffende de verhoogde verzekeringstegemoetkoming, bedoeld in artikel 37, § 19, van de wet betreffende de verplichte verzekering voor geneeskundige verzorging en uitkeringen, gecoördineerd op 14 juli 1994 als bewijsstuk.</w:t>
      </w:r>
    </w:p>
    <w:p w14:paraId="26CDD2E2" w14:textId="77777777" w:rsidR="00B01A8D" w:rsidRDefault="00B01A8D" w:rsidP="00B01A8D">
      <w:pPr>
        <w:jc w:val="both"/>
        <w:rPr>
          <w:rFonts w:cs="Arial"/>
          <w:lang w:val="nl-BE"/>
        </w:rPr>
      </w:pPr>
      <w:r>
        <w:rPr>
          <w:rFonts w:cs="Arial"/>
          <w:lang w:val="nl-BE"/>
        </w:rPr>
        <w:t>Zoals in de omzendbrief V.I. 2022/132 van 27 april 2022 van de Dienst voor Geneeskundige Verzorging van het RIZIV betreffende de reglementering van de verhoogde verzekeringstegemoetkoming bepaald, mag de gerechtigde en zijn kinderen (waarvan minstens één ingeschreven is als kind ten laste in het gezin van één van zijn ouders) die in een gemeenschap verblijven (d.w.z. een rustoord voor bejaarden, een rust- en verzorgingstehuis, een psychiatrisch verzorgingstehuis, een initiatief voor beschut wonen, een centrum voor sociaal verweer, een gevangenis, een religieuze gemeenschap,…), toch als een eenoudergezin beschouwd worden, op voorwaarde dat geen echtgenoot of samenwonende op hetzelfde adres is ingeschreven – in dat geval wordt de hoedanigheid van eenoudergezin vastgesteld op basis van een verklaring op eer met betrekking tot de gezinssamenstelling.</w:t>
      </w:r>
    </w:p>
    <w:p w14:paraId="411FFABF" w14:textId="77777777" w:rsidR="00B01A8D" w:rsidRDefault="00B01A8D" w:rsidP="00B01A8D">
      <w:pPr>
        <w:jc w:val="both"/>
        <w:rPr>
          <w:rFonts w:cs="Arial"/>
          <w:lang w:val="nl-BE"/>
        </w:rPr>
      </w:pPr>
    </w:p>
    <w:p w14:paraId="02E358A4" w14:textId="77777777" w:rsidR="00B01A8D" w:rsidRDefault="00B01A8D" w:rsidP="00B01A8D">
      <w:pPr>
        <w:jc w:val="both"/>
        <w:rPr>
          <w:rFonts w:cs="Arial"/>
          <w:lang w:val="nl-BE"/>
        </w:rPr>
      </w:pPr>
    </w:p>
    <w:p w14:paraId="66CC4A97" w14:textId="77777777" w:rsidR="00B01A8D" w:rsidRPr="00227DB6" w:rsidRDefault="00B01A8D" w:rsidP="00B01A8D">
      <w:pPr>
        <w:jc w:val="both"/>
        <w:rPr>
          <w:rFonts w:cs="Arial"/>
          <w:b/>
          <w:szCs w:val="28"/>
          <w:lang w:val="nl-BE"/>
        </w:rPr>
      </w:pPr>
      <w:r w:rsidRPr="00227DB6">
        <w:rPr>
          <w:rFonts w:cs="Arial"/>
          <w:b/>
          <w:szCs w:val="28"/>
          <w:lang w:val="nl-BE"/>
        </w:rPr>
        <w:lastRenderedPageBreak/>
        <w:t>2.10. Verzekerde meegedeeld in de proactieve stroom</w:t>
      </w:r>
    </w:p>
    <w:p w14:paraId="465679D8" w14:textId="77777777" w:rsidR="00B01A8D" w:rsidRDefault="00B01A8D" w:rsidP="00B01A8D">
      <w:pPr>
        <w:jc w:val="both"/>
        <w:rPr>
          <w:rFonts w:cs="Arial"/>
          <w:lang w:val="nl-BE"/>
        </w:rPr>
      </w:pPr>
      <w:r>
        <w:rPr>
          <w:rFonts w:cs="Arial"/>
          <w:lang w:val="nl-BE"/>
        </w:rPr>
        <w:t>De indicator “verzekerden meegedeeld in de proactieve stroom” betreft personen die meegedeeld worden in de proactieve stroom van het lopende jaar of van het voorafgaande jaar in het geval dat de proactieve stroom nog niet werd afgerond. De indicator is van toepassing vanaf de uitwisseling van bestand Pro_04 van de proactieve stroom van het jaar 2022.</w:t>
      </w:r>
    </w:p>
    <w:p w14:paraId="7E8D2F07" w14:textId="77777777" w:rsidR="00B01A8D" w:rsidRDefault="00B01A8D" w:rsidP="00B01A8D">
      <w:pPr>
        <w:jc w:val="both"/>
        <w:rPr>
          <w:rFonts w:cs="Arial"/>
          <w:lang w:val="nl-BE"/>
        </w:rPr>
      </w:pPr>
      <w:r>
        <w:rPr>
          <w:rFonts w:cs="Arial"/>
          <w:lang w:val="nl-BE"/>
        </w:rPr>
        <w:t>De indicator “proactieve stroom” vervalt als uiteindelijk blijkt dat het gezinsinkomen te hoog was (na bijvoorbeeld een inkomensonderzoek of na ontvangst van bijdragebons). De stabiliteit van de inkomens wordt dan namelijk niet meer aangetoond. Om de indicator te kunnen gebruiken mogen er geen inkomensvariaties zijn tussen de proactieve stroom en de aanvraag V.T.</w:t>
      </w:r>
    </w:p>
    <w:p w14:paraId="09521E66" w14:textId="77777777" w:rsidR="00B01A8D" w:rsidRDefault="00B01A8D" w:rsidP="00B01A8D">
      <w:pPr>
        <w:jc w:val="both"/>
        <w:rPr>
          <w:rFonts w:cs="Arial"/>
          <w:lang w:val="nl-BE"/>
        </w:rPr>
      </w:pPr>
      <w:r>
        <w:rPr>
          <w:rFonts w:cs="Arial"/>
          <w:lang w:val="nl-BE"/>
        </w:rPr>
        <w:t>Er wordt geen tussentijdse controle vereist voor de indicator “verzekerde meegedeeld in de proactieve stroom” aangezien deze indicator steeds zal bestaan.</w:t>
      </w:r>
    </w:p>
    <w:p w14:paraId="2E64F676" w14:textId="77777777" w:rsidR="00B01A8D" w:rsidRDefault="00B01A8D" w:rsidP="00B01A8D">
      <w:pPr>
        <w:jc w:val="both"/>
        <w:rPr>
          <w:rFonts w:cs="Arial"/>
          <w:lang w:val="nl-BE"/>
        </w:rPr>
      </w:pPr>
      <w:r>
        <w:rPr>
          <w:rFonts w:cs="Arial"/>
          <w:lang w:val="nl-BE"/>
        </w:rPr>
        <w:t>De V.I. zijn zelf houder en authentieke bron van de gegevens over de proactieve flux. De DAC kan wel vaststellen welke verzekerden werden meegedeeld in de proactieve flux, maar alleen de V.I. heeft het volledige beeld zoals de resultaten van een</w:t>
      </w:r>
      <w:r>
        <w:rPr>
          <w:lang w:val="nl-BE"/>
        </w:rPr>
        <w:t xml:space="preserve"> </w:t>
      </w:r>
      <w:r>
        <w:rPr>
          <w:rFonts w:cs="Arial"/>
          <w:lang w:val="nl-BE"/>
        </w:rPr>
        <w:t>inkomensonderzoek of ontvangst van bijdragebons.</w:t>
      </w:r>
    </w:p>
    <w:p w14:paraId="724FEAAD" w14:textId="77777777" w:rsidR="00B01A8D" w:rsidRPr="0073095A" w:rsidRDefault="00B01A8D" w:rsidP="00B01A8D">
      <w:pPr>
        <w:jc w:val="both"/>
        <w:rPr>
          <w:rFonts w:cs="Arial"/>
          <w:b/>
          <w:sz w:val="28"/>
          <w:szCs w:val="28"/>
          <w:lang w:val="nl-BE"/>
        </w:rPr>
      </w:pPr>
      <w:r w:rsidRPr="0073095A">
        <w:rPr>
          <w:rFonts w:cs="Arial"/>
          <w:b/>
          <w:szCs w:val="28"/>
          <w:lang w:val="nl-BE"/>
        </w:rPr>
        <w:t xml:space="preserve">2.11. De zelfstandige in klassiek overbruggingsrecht gedurende ten minste 1 </w:t>
      </w:r>
      <w:r w:rsidRPr="0073095A">
        <w:rPr>
          <w:rFonts w:cs="Arial"/>
          <w:b/>
          <w:lang w:val="nl-BE"/>
        </w:rPr>
        <w:t>kwartaal.</w:t>
      </w:r>
    </w:p>
    <w:p w14:paraId="7EEAD891" w14:textId="77777777" w:rsidR="00B01A8D" w:rsidRDefault="00B01A8D" w:rsidP="00B01A8D">
      <w:pPr>
        <w:jc w:val="both"/>
        <w:rPr>
          <w:rFonts w:cs="Arial"/>
          <w:lang w:val="nl-BE"/>
        </w:rPr>
      </w:pPr>
      <w:r>
        <w:rPr>
          <w:rFonts w:cs="Arial"/>
          <w:lang w:val="nl-BE"/>
        </w:rPr>
        <w:t>De zelfstandige in klassiek overbruggingsrecht gedurende ten minste 1 kwartaal. Deze indicator is van toepassing vanaf 1 juli 2022.</w:t>
      </w:r>
    </w:p>
    <w:p w14:paraId="12833E45" w14:textId="77777777" w:rsidR="00B01A8D" w:rsidRDefault="00B01A8D" w:rsidP="00B01A8D">
      <w:pPr>
        <w:jc w:val="both"/>
        <w:rPr>
          <w:rFonts w:cs="Arial"/>
          <w:lang w:val="nl-BE"/>
        </w:rPr>
      </w:pPr>
      <w:r>
        <w:rPr>
          <w:rFonts w:cs="Arial"/>
          <w:lang w:val="nl-BE"/>
        </w:rPr>
        <w:t>Het gegeven “overbruggingsrecht” is beschikbaar in de stroom “selfemployedv2.consultcareer” daarin is het de “EqualityCode 500: Verzekering na faling/ overbruggingskrediet”.</w:t>
      </w:r>
    </w:p>
    <w:p w14:paraId="4FF89FD4" w14:textId="77777777" w:rsidR="00B01A8D" w:rsidRPr="0073095A" w:rsidRDefault="00B01A8D" w:rsidP="00B01A8D">
      <w:pPr>
        <w:jc w:val="both"/>
        <w:rPr>
          <w:rFonts w:cs="Arial"/>
          <w:b/>
          <w:sz w:val="28"/>
          <w:szCs w:val="28"/>
          <w:lang w:val="nl-BE"/>
        </w:rPr>
      </w:pPr>
      <w:r w:rsidRPr="0073095A">
        <w:rPr>
          <w:rFonts w:cs="Arial"/>
          <w:b/>
          <w:szCs w:val="28"/>
          <w:lang w:val="nl-BE"/>
        </w:rPr>
        <w:t>2.12. Persoon met geniet van de Tegemoetkoming voor Hulp Aan Bejaarden (THAB) toegekend door de Duitstalige Gemeenschap (Pflegegeld für Senioren).</w:t>
      </w:r>
    </w:p>
    <w:p w14:paraId="10185BCA" w14:textId="77777777" w:rsidR="00B01A8D" w:rsidRPr="001F2D96" w:rsidRDefault="00B01A8D" w:rsidP="00B01A8D">
      <w:pPr>
        <w:jc w:val="both"/>
        <w:rPr>
          <w:rFonts w:cs="Arial"/>
          <w:lang w:val="nl-BE"/>
        </w:rPr>
      </w:pPr>
      <w:r>
        <w:rPr>
          <w:rFonts w:cs="Arial"/>
          <w:lang w:val="nl-BE"/>
        </w:rPr>
        <w:t>De toekenning van de Tegemoetkoming voor Hulp Aan Bejaarden (THAB) werd, in het kader van de 6e staatshervorming, een gemeenschapsbevoegdheid. De Duitstalige Gemeenschap besloot vervolgens om vanaf 2023 de THAB niet meer te openen op basis van een inkomstenonderzoek, maar zich ervoor te baseren op de BelRAI-score, waardoor de THAB toegekend door de Duitstalige Gemeenschap (Pflegegeld für Senioren) niet langer kan worden gelinkt aan een automatisch recht op de V.T.</w:t>
      </w:r>
      <w:r>
        <w:rPr>
          <w:rStyle w:val="Appelnotedebasdep"/>
          <w:rFonts w:cs="Arial"/>
          <w:lang w:val="nl-BE"/>
        </w:rPr>
        <w:footnoteReference w:id="10"/>
      </w:r>
      <w:r>
        <w:rPr>
          <w:rFonts w:cs="Arial"/>
          <w:lang w:val="nl-BE"/>
        </w:rPr>
        <w:t xml:space="preserve"> Personen die genieten van THAB toegekend door de Duitstalige Gemeenschap zullen voor het inkomstenonderzoek V.T. vanaf 2025 hun </w:t>
      </w:r>
      <w:r w:rsidRPr="001F2D96">
        <w:rPr>
          <w:rFonts w:cs="Arial"/>
          <w:lang w:val="nl-BE"/>
        </w:rPr>
        <w:t xml:space="preserve">inkomsten echter niet voor een referentieperiode van één jaar moeten aantonen, maar gewoon voor de huidige situatie. </w:t>
      </w:r>
    </w:p>
    <w:p w14:paraId="11860AB6" w14:textId="77777777" w:rsidR="00B01A8D" w:rsidRDefault="00B01A8D" w:rsidP="00B01A8D">
      <w:pPr>
        <w:jc w:val="both"/>
        <w:rPr>
          <w:rFonts w:cs="Arial"/>
          <w:lang w:val="nl-BE"/>
        </w:rPr>
      </w:pPr>
      <w:r w:rsidRPr="001F2D96">
        <w:rPr>
          <w:rFonts w:cs="Arial"/>
          <w:lang w:val="nl-BE"/>
        </w:rPr>
        <w:t xml:space="preserve">Het geniet van de Tegemoetkoming voor Hulp Aan Bejaarden (THAB) wordt aan de V.I. meegedeeld via de stroom A003. De V.I. kan in deze stroom de verzendende instellingen identificeren en zo dus identificeren wanneer het gaat om een recht dat werd toegekend door de Duitstalige gemeenschap. </w:t>
      </w:r>
    </w:p>
    <w:p w14:paraId="4EEE085B" w14:textId="77777777" w:rsidR="00B01A8D" w:rsidRPr="001F2D96" w:rsidRDefault="00B01A8D" w:rsidP="00B01A8D">
      <w:pPr>
        <w:jc w:val="both"/>
        <w:rPr>
          <w:rFonts w:cs="Arial"/>
          <w:lang w:val="nl-BE"/>
        </w:rPr>
      </w:pPr>
    </w:p>
    <w:p w14:paraId="5E558FAE" w14:textId="77777777" w:rsidR="00B01A8D" w:rsidRPr="001F2D96" w:rsidRDefault="00B01A8D" w:rsidP="00B01A8D">
      <w:pPr>
        <w:pStyle w:val="Paragraphedeliste"/>
        <w:numPr>
          <w:ilvl w:val="0"/>
          <w:numId w:val="2"/>
        </w:numPr>
        <w:jc w:val="both"/>
        <w:rPr>
          <w:rFonts w:cs="Arial"/>
          <w:b/>
          <w:bCs/>
          <w:sz w:val="24"/>
          <w:szCs w:val="24"/>
          <w:lang w:val="nl-BE"/>
        </w:rPr>
      </w:pPr>
      <w:r w:rsidRPr="001F2D96">
        <w:rPr>
          <w:rFonts w:cs="Arial"/>
          <w:b/>
          <w:bCs/>
          <w:sz w:val="24"/>
          <w:szCs w:val="24"/>
          <w:lang w:val="nl-BE"/>
        </w:rPr>
        <w:lastRenderedPageBreak/>
        <w:t>Inwerkingtreding</w:t>
      </w:r>
    </w:p>
    <w:p w14:paraId="1375DC75" w14:textId="77777777" w:rsidR="00B01A8D" w:rsidRPr="0098219B" w:rsidRDefault="00B01A8D" w:rsidP="00B01A8D">
      <w:pPr>
        <w:ind w:left="360"/>
        <w:jc w:val="both"/>
        <w:rPr>
          <w:rFonts w:cs="Arial"/>
          <w:lang w:val="nl-BE"/>
        </w:rPr>
      </w:pPr>
      <w:r w:rsidRPr="001F2D96">
        <w:rPr>
          <w:rFonts w:cs="Arial"/>
          <w:lang w:val="nl-BE"/>
        </w:rPr>
        <w:t>Deze omzendbrief vervangt de omzendbrief V.I. nr. 2024/337 van 28 november 2024.</w:t>
      </w:r>
    </w:p>
    <w:p w14:paraId="56BAF669" w14:textId="0C45EE05"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B01A8D"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B01A8D"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hyperlink r:id="rId14">
                      <w:r w:rsidR="00DC2C75">
                        <w:rPr>
                          <w:rStyle w:val="Lienhypertexte"/>
                          <w:rFonts w:ascii="Arial" w:hAnsi="Arial" w:cs="Arial"/>
                          <w:sz w:val="18"/>
                          <w:szCs w:val="18"/>
                        </w:rPr>
                        <w:t>Bijlage 1_OverzichtIndicatoren.docx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01171"/>
          <w:placeholder>
            <w:docPart w:val="574F8A8B89E141A79FF87FE76A621377"/>
          </w:placeholder>
        </w:sdtPr>
        <w:sdtEndPr>
          <w:rPr>
            <w:rStyle w:val="Policepardfaut"/>
            <w:color w:val="auto"/>
            <w:u w:val="none"/>
          </w:rPr>
        </w:sdtEndPr>
        <w:sdtContent>
          <w:tr w:rsidR="00F74688" w:rsidRPr="00285AC1" w14:paraId="5B6141E6" w14:textId="77777777" w:rsidTr="00452BF0">
            <w:trPr>
              <w:trHeight w:val="323"/>
            </w:trPr>
            <w:tc>
              <w:tcPr>
                <w:tcW w:w="5385" w:type="dxa"/>
                <w:tcBorders>
                  <w:top w:val="nil"/>
                  <w:left w:val="nil"/>
                  <w:bottom w:val="nil"/>
                  <w:right w:val="nil"/>
                </w:tcBorders>
              </w:tcPr>
              <w:p w14:paraId="623D0E7A" w14:textId="77777777" w:rsidR="00F74688" w:rsidRPr="00285AC1" w:rsidRDefault="00B01A8D"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312695"/>
                    <w:placeholder>
                      <w:docPart w:val="B239B9727AF4485D841274C5EE4347C9"/>
                    </w:placeholder>
                  </w:sdtPr>
                  <w:sdtEndPr>
                    <w:rPr>
                      <w:rStyle w:val="Policepardfaut"/>
                      <w:color w:val="FFFFFF" w:themeColor="background1"/>
                      <w:u w:val="none"/>
                    </w:rPr>
                  </w:sdtEndPr>
                  <w:sdtContent>
                    <w:hyperlink r:id="rId15">
                      <w:r w:rsidR="00DC2C75">
                        <w:rPr>
                          <w:rStyle w:val="Lienhypertexte"/>
                          <w:rFonts w:ascii="Arial" w:hAnsi="Arial" w:cs="Arial"/>
                          <w:sz w:val="18"/>
                          <w:szCs w:val="18"/>
                        </w:rPr>
                        <w:t>Bijlage 2_PensioenattestenOverlevingspensioenen.docx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B01A8D"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B01A8D">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 w:id="2">
    <w:p w14:paraId="2B972A9B" w14:textId="77777777" w:rsidR="00B01A8D" w:rsidRPr="00D35429" w:rsidRDefault="00B01A8D" w:rsidP="00B01A8D">
      <w:pPr>
        <w:pStyle w:val="Notedebasdepage"/>
        <w:jc w:val="both"/>
        <w:rPr>
          <w:sz w:val="16"/>
          <w:szCs w:val="16"/>
          <w:lang w:val="nl-BE"/>
        </w:rPr>
      </w:pPr>
      <w:r w:rsidRPr="00D35429">
        <w:rPr>
          <w:rStyle w:val="Appelnotedebasdep"/>
          <w:rFonts w:eastAsiaTheme="minorHAnsi"/>
          <w:sz w:val="16"/>
          <w:szCs w:val="16"/>
        </w:rPr>
        <w:footnoteRef/>
      </w:r>
      <w:r w:rsidRPr="00D35429">
        <w:rPr>
          <w:sz w:val="16"/>
          <w:szCs w:val="16"/>
          <w:lang w:val="nl-BE"/>
        </w:rPr>
        <w:t xml:space="preserve"> Vanaf 1 januari 2023 wordt het genot van een Pflegegeld für Senioren toegekend krachtens het decreet van 27 juni 2022 beschouwd als een indicator binnen de reglementering van de verhoogde tegemoetkoming. Dit zal evenwel slechts effectief van toepassing zijn vanaf 2025 gelet op de overgangsmaatregelen voorzien voor de periode 2023-2024 (Uit “Omzendbrief VI nr. 2023/95 van 7 april 2023”).</w:t>
      </w:r>
    </w:p>
  </w:footnote>
  <w:footnote w:id="3">
    <w:p w14:paraId="614A3554" w14:textId="77777777" w:rsidR="00B01A8D" w:rsidRDefault="00B01A8D" w:rsidP="00B01A8D">
      <w:pPr>
        <w:pStyle w:val="Notedebasdepage"/>
        <w:jc w:val="both"/>
        <w:rPr>
          <w:lang w:val="nl-BE"/>
        </w:rPr>
      </w:pPr>
      <w:r>
        <w:rPr>
          <w:rStyle w:val="Appelnotedebasdep"/>
          <w:rFonts w:eastAsiaTheme="minorHAnsi"/>
          <w:sz w:val="16"/>
          <w:szCs w:val="16"/>
        </w:rPr>
        <w:footnoteRef/>
      </w:r>
      <w:r>
        <w:rPr>
          <w:sz w:val="16"/>
          <w:szCs w:val="16"/>
          <w:lang w:val="nl-BE"/>
        </w:rPr>
        <w:t xml:space="preserve"> Koninklijk besluit tot wijziging van het koninklijk besluit van 15 januari 2014 betreffende de verhoogde verzekeringstegemoetkoming, bedoeld in artikel 37, § 19, van de wet betreffende de verplichte verzekering voor geneeskundige verzorging en uitkeringen, gecoördineerd op 14 juli 1994.</w:t>
      </w:r>
    </w:p>
  </w:footnote>
  <w:footnote w:id="4">
    <w:p w14:paraId="76ECBA1E" w14:textId="77777777" w:rsidR="00B01A8D" w:rsidRDefault="00B01A8D" w:rsidP="00B01A8D">
      <w:pPr>
        <w:pStyle w:val="Notedebasdepage"/>
        <w:jc w:val="both"/>
        <w:rPr>
          <w:color w:val="000000" w:themeColor="text1"/>
          <w:lang w:val="nl-BE"/>
        </w:rPr>
      </w:pPr>
      <w:r>
        <w:rPr>
          <w:rStyle w:val="Appelnotedebasdep"/>
          <w:rFonts w:eastAsiaTheme="minorHAnsi"/>
          <w:sz w:val="16"/>
          <w:szCs w:val="16"/>
        </w:rPr>
        <w:footnoteRef/>
      </w:r>
      <w:r>
        <w:rPr>
          <w:sz w:val="16"/>
          <w:szCs w:val="16"/>
          <w:lang w:val="nl-BE"/>
        </w:rPr>
        <w:t xml:space="preserve"> </w:t>
      </w:r>
      <w:r>
        <w:rPr>
          <w:color w:val="000000" w:themeColor="text1"/>
          <w:sz w:val="16"/>
          <w:szCs w:val="16"/>
          <w:lang w:val="nl-BE"/>
        </w:rPr>
        <w:t xml:space="preserve">Deze situatie komt dus ook overeen met de voorwaarden voorzien in artikel 32, 11°bis GVU-wet om de hoedanigheid van gerechtigde gepensioneerde zelfstandige te laten gelden. De </w:t>
      </w:r>
      <w:r w:rsidRPr="005A4558">
        <w:rPr>
          <w:color w:val="000000" w:themeColor="text1"/>
          <w:sz w:val="16"/>
          <w:szCs w:val="16"/>
          <w:lang w:val="nl-BE"/>
        </w:rPr>
        <w:t>bijdragebon vermeldt evenwel niet de beroepsloopbaan (+ of – 1/3) noch de leeftijd van de persoon (maar dit laatste kan geconsulteerd worden door V.I. in het Rijksregister). Bijgevolg dient het attest met code 69, gecombineerd met een consultatie van de leeftijdsvoorwaarde in het Rijksregister, als bewijs voor de hoedanigheid van gerechtigde gepensioneerde zelfstandige en geeft het een recht op geneeskundige verzorging De zelfstandige die over een pensioenattest code 69 beschikt heeft dus de hoedanigheid van gerechtigde bedoeld in artikel 32, eerste lid, 11°bis van de gecoördineerde wet van 14 juli 1994 mits hij de wettelijke pensioenleeftijd bereikte.</w:t>
      </w:r>
      <w:r>
        <w:rPr>
          <w:color w:val="000000" w:themeColor="text1"/>
          <w:sz w:val="16"/>
          <w:szCs w:val="16"/>
          <w:lang w:val="nl-BE"/>
        </w:rPr>
        <w:t xml:space="preserve">   </w:t>
      </w:r>
    </w:p>
  </w:footnote>
  <w:footnote w:id="5">
    <w:p w14:paraId="72AD1299" w14:textId="77777777" w:rsidR="00B01A8D" w:rsidRDefault="00B01A8D" w:rsidP="00B01A8D">
      <w:pPr>
        <w:pStyle w:val="Notedebasdepage"/>
        <w:jc w:val="both"/>
        <w:rPr>
          <w:color w:val="000000" w:themeColor="text1"/>
          <w:lang w:val="nl-BE"/>
        </w:rPr>
      </w:pPr>
      <w:r>
        <w:rPr>
          <w:rStyle w:val="Appelnotedebasdep"/>
          <w:rFonts w:eastAsiaTheme="minorHAnsi"/>
          <w:color w:val="000000" w:themeColor="text1"/>
          <w:sz w:val="16"/>
          <w:szCs w:val="16"/>
        </w:rPr>
        <w:footnoteRef/>
      </w:r>
      <w:r>
        <w:rPr>
          <w:color w:val="000000" w:themeColor="text1"/>
          <w:sz w:val="16"/>
          <w:szCs w:val="16"/>
          <w:lang w:val="nl-BE"/>
        </w:rPr>
        <w:t xml:space="preserve"> Als het ziektekapitaal van een statutair ambtenaar is uitgeput en deze nog steeds afwezig wegens ziekte, wordt betrokkene van rechtswege in disponibiliteit wegens ziekte geplaatst. De regels over de wedde die nog wordt uitbetaald en de bevoegde dienst die de disponibiliteit berekend en attesteert is afhankelijk van de overheid waarvoor de betrokken ambtenaar werkt.</w:t>
      </w:r>
    </w:p>
  </w:footnote>
  <w:footnote w:id="6">
    <w:p w14:paraId="74AF619A" w14:textId="77777777" w:rsidR="00B01A8D" w:rsidRDefault="00B01A8D" w:rsidP="00B01A8D">
      <w:pPr>
        <w:pStyle w:val="Notedebasdepage"/>
        <w:jc w:val="both"/>
        <w:rPr>
          <w:color w:val="000000" w:themeColor="text1"/>
          <w:lang w:val="nl-BE"/>
        </w:rPr>
      </w:pPr>
      <w:r>
        <w:rPr>
          <w:rStyle w:val="Appelnotedebasdep"/>
          <w:rFonts w:eastAsiaTheme="minorHAnsi"/>
          <w:color w:val="000000" w:themeColor="text1"/>
          <w:sz w:val="16"/>
          <w:szCs w:val="16"/>
        </w:rPr>
        <w:footnoteRef/>
      </w:r>
      <w:r>
        <w:rPr>
          <w:color w:val="000000" w:themeColor="text1"/>
          <w:sz w:val="16"/>
          <w:szCs w:val="16"/>
          <w:lang w:val="nl-BE"/>
        </w:rPr>
        <w:t xml:space="preserve"> Stel dat iemand eerst arbeidsongeschikt is gedurende 2 maanden en dan 1 maand in disponibiliteit, dan is de periode van 3 maanden gedekt en kan de persoon van de indicator genieten.</w:t>
      </w:r>
    </w:p>
  </w:footnote>
  <w:footnote w:id="7">
    <w:p w14:paraId="0740520D" w14:textId="77777777" w:rsidR="00B01A8D" w:rsidRDefault="00B01A8D" w:rsidP="00B01A8D">
      <w:pPr>
        <w:pStyle w:val="Notedebasdepage"/>
        <w:jc w:val="both"/>
        <w:rPr>
          <w:color w:val="000000" w:themeColor="text1"/>
          <w:lang w:val="nl-BE"/>
        </w:rPr>
      </w:pPr>
      <w:r>
        <w:rPr>
          <w:rStyle w:val="Appelnotedebasdep"/>
          <w:rFonts w:eastAsiaTheme="minorHAnsi"/>
          <w:color w:val="000000" w:themeColor="text1"/>
          <w:sz w:val="16"/>
          <w:szCs w:val="16"/>
        </w:rPr>
        <w:footnoteRef/>
      </w:r>
      <w:r>
        <w:rPr>
          <w:color w:val="000000" w:themeColor="text1"/>
          <w:sz w:val="16"/>
          <w:szCs w:val="16"/>
          <w:lang w:val="nl-BE"/>
        </w:rPr>
        <w:t xml:space="preserve"> in de zin van de reglementering betreffende de verplichte verzekering voor geneeskundige verzorging</w:t>
      </w:r>
    </w:p>
  </w:footnote>
  <w:footnote w:id="8">
    <w:p w14:paraId="49986F00" w14:textId="77777777" w:rsidR="00B01A8D" w:rsidRDefault="00B01A8D" w:rsidP="00B01A8D">
      <w:pPr>
        <w:pStyle w:val="Notedebasdepage"/>
        <w:jc w:val="both"/>
        <w:rPr>
          <w:color w:val="000000" w:themeColor="text1"/>
          <w:lang w:val="nl-BE"/>
        </w:rPr>
      </w:pPr>
      <w:r>
        <w:rPr>
          <w:rStyle w:val="Appelnotedebasdep"/>
          <w:rFonts w:eastAsiaTheme="minorHAnsi"/>
          <w:color w:val="000000" w:themeColor="text1"/>
          <w:sz w:val="16"/>
          <w:szCs w:val="16"/>
        </w:rPr>
        <w:footnoteRef/>
      </w:r>
      <w:r>
        <w:rPr>
          <w:color w:val="000000" w:themeColor="text1"/>
          <w:sz w:val="16"/>
          <w:szCs w:val="16"/>
          <w:lang w:val="nl-BE"/>
        </w:rPr>
        <w:t xml:space="preserve"> in de zin van de werkloosheidsreglementering</w:t>
      </w:r>
    </w:p>
  </w:footnote>
  <w:footnote w:id="9">
    <w:p w14:paraId="77E72844" w14:textId="77777777" w:rsidR="00B01A8D" w:rsidRDefault="00B01A8D" w:rsidP="00B01A8D">
      <w:pPr>
        <w:pStyle w:val="Notedebasdepage"/>
        <w:jc w:val="both"/>
        <w:rPr>
          <w:lang w:val="nl-BE"/>
        </w:rPr>
      </w:pPr>
      <w:r>
        <w:rPr>
          <w:rStyle w:val="Appelnotedebasdep"/>
          <w:rFonts w:eastAsiaTheme="minorHAnsi"/>
          <w:color w:val="000000" w:themeColor="text1"/>
          <w:sz w:val="16"/>
          <w:szCs w:val="16"/>
        </w:rPr>
        <w:footnoteRef/>
      </w:r>
      <w:r>
        <w:rPr>
          <w:color w:val="000000" w:themeColor="text1"/>
          <w:sz w:val="16"/>
          <w:szCs w:val="16"/>
          <w:lang w:val="nl-BE"/>
        </w:rPr>
        <w:t xml:space="preserve"> Zie omzendbrief V.I. nr. 2014/72-3991/244 van 5 februari 2014</w:t>
      </w:r>
    </w:p>
  </w:footnote>
  <w:footnote w:id="10">
    <w:p w14:paraId="7A00ADAA" w14:textId="77777777" w:rsidR="00B01A8D" w:rsidRPr="00677E91" w:rsidRDefault="00B01A8D" w:rsidP="00B01A8D">
      <w:pPr>
        <w:pStyle w:val="En-tte"/>
        <w:jc w:val="both"/>
        <w:rPr>
          <w:rFonts w:ascii="Arial" w:hAnsi="Arial" w:cs="Arial"/>
          <w:lang w:val="nl-NL"/>
        </w:rPr>
      </w:pPr>
      <w:r w:rsidRPr="00677E91">
        <w:rPr>
          <w:rStyle w:val="Appelnotedebasdep"/>
          <w:rFonts w:ascii="Arial" w:hAnsi="Arial" w:cs="Arial"/>
          <w:sz w:val="16"/>
          <w:szCs w:val="16"/>
        </w:rPr>
        <w:footnoteRef/>
      </w:r>
      <w:r w:rsidRPr="00677E91">
        <w:rPr>
          <w:rFonts w:ascii="Arial" w:hAnsi="Arial" w:cs="Arial"/>
          <w:sz w:val="16"/>
          <w:szCs w:val="16"/>
          <w:lang w:val="nl-BE"/>
        </w:rPr>
        <w:t xml:space="preserve"> </w:t>
      </w:r>
      <w:r w:rsidRPr="00677E91">
        <w:rPr>
          <w:rFonts w:ascii="Arial" w:hAnsi="Arial" w:cs="Arial"/>
          <w:sz w:val="16"/>
          <w:szCs w:val="16"/>
          <w:lang w:val="nl-NL"/>
        </w:rPr>
        <w:t>Zie KB van 26 december 2022 tot wijziging van het koninklijk besluit van 15 januari 2014 betreffende de verhoogde verzekeringstegemoetkoming, bedoeld in artikel 37, § 19, van de wet betreffende de verplichte verzekering voor geneeskundige verzorging en uitkeringen, gecoördineerd op 14 juli 1994, BS 20/01/2023.</w:t>
      </w:r>
      <w:r w:rsidRPr="00677E91">
        <w:rPr>
          <w:rFonts w:ascii="Arial" w:hAnsi="Arial" w:cs="Arial"/>
          <w:lang w:val="nl-NL"/>
        </w:rPr>
        <w:t xml:space="preserve"> </w:t>
      </w:r>
    </w:p>
    <w:p w14:paraId="0713416E" w14:textId="77777777" w:rsidR="00B01A8D" w:rsidRDefault="00B01A8D" w:rsidP="00B01A8D">
      <w:pPr>
        <w:pStyle w:val="En-tte"/>
        <w:rPr>
          <w:lang w:val="nl-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5FE6"/>
    <w:multiLevelType w:val="hybridMultilevel"/>
    <w:tmpl w:val="7EECC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47265"/>
    <w:multiLevelType w:val="hybridMultilevel"/>
    <w:tmpl w:val="1C48670E"/>
    <w:lvl w:ilvl="0" w:tplc="0809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 w15:restartNumberingAfterBreak="0">
    <w:nsid w:val="4F42613F"/>
    <w:multiLevelType w:val="hybridMultilevel"/>
    <w:tmpl w:val="0A70AF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9805CD6"/>
    <w:multiLevelType w:val="multilevel"/>
    <w:tmpl w:val="9D22987A"/>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76FE46E3"/>
    <w:multiLevelType w:val="multilevel"/>
    <w:tmpl w:val="62DE6624"/>
    <w:lvl w:ilvl="0">
      <w:start w:val="2"/>
      <w:numFmt w:val="decimal"/>
      <w:lvlText w:val="%1"/>
      <w:lvlJc w:val="left"/>
      <w:pPr>
        <w:ind w:left="360" w:hanging="360"/>
      </w:pPr>
      <w:rPr>
        <w:b/>
      </w:r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num w:numId="1" w16cid:durableId="725567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37686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41174">
    <w:abstractNumId w:val="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1715908">
    <w:abstractNumId w:val="0"/>
  </w:num>
  <w:num w:numId="5" w16cid:durableId="1987784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70C78"/>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1A8D"/>
    <w:rsid w:val="00B02A1B"/>
    <w:rsid w:val="00B055DE"/>
    <w:rsid w:val="00B507BB"/>
    <w:rsid w:val="00B52338"/>
    <w:rsid w:val="00B555BE"/>
    <w:rsid w:val="00B91B19"/>
    <w:rsid w:val="00B97568"/>
    <w:rsid w:val="00BC4268"/>
    <w:rsid w:val="00BC65BD"/>
    <w:rsid w:val="00C1392B"/>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52358958-EEC9-47C5-9C8A-67027CA2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 w:type="paragraph" w:styleId="Paragraphedeliste">
    <w:name w:val="List Paragraph"/>
    <w:aliases w:val="List Paragraph 1"/>
    <w:basedOn w:val="Normal"/>
    <w:link w:val="ParagraphedelisteCar"/>
    <w:uiPriority w:val="34"/>
    <w:qFormat/>
    <w:rsid w:val="00B01A8D"/>
    <w:pPr>
      <w:spacing w:after="200" w:line="276" w:lineRule="auto"/>
      <w:ind w:left="720"/>
      <w:contextualSpacing/>
    </w:pPr>
    <w:rPr>
      <w:rFonts w:eastAsiaTheme="minorEastAsia"/>
    </w:rPr>
  </w:style>
  <w:style w:type="paragraph" w:styleId="Notedebasdepage">
    <w:name w:val="footnote text"/>
    <w:basedOn w:val="Normal"/>
    <w:link w:val="NotedebasdepageCar"/>
    <w:uiPriority w:val="99"/>
    <w:unhideWhenUsed/>
    <w:rsid w:val="00B01A8D"/>
    <w:pPr>
      <w:spacing w:after="0" w:line="240" w:lineRule="auto"/>
    </w:pPr>
    <w:rPr>
      <w:rFonts w:ascii="Arial" w:eastAsia="Times New Roman" w:hAnsi="Arial" w:cs="Times New Roman"/>
      <w:sz w:val="20"/>
      <w:szCs w:val="20"/>
      <w:lang w:val="en-AU"/>
    </w:rPr>
  </w:style>
  <w:style w:type="character" w:customStyle="1" w:styleId="NotedebasdepageCar">
    <w:name w:val="Note de bas de page Car"/>
    <w:basedOn w:val="Policepardfaut"/>
    <w:link w:val="Notedebasdepage"/>
    <w:uiPriority w:val="99"/>
    <w:rsid w:val="00B01A8D"/>
    <w:rPr>
      <w:rFonts w:ascii="Arial" w:eastAsia="Times New Roman" w:hAnsi="Arial" w:cs="Times New Roman"/>
      <w:sz w:val="20"/>
      <w:szCs w:val="20"/>
      <w:lang w:val="en-AU"/>
    </w:rPr>
  </w:style>
  <w:style w:type="character" w:styleId="Appelnotedebasdep">
    <w:name w:val="footnote reference"/>
    <w:basedOn w:val="Policepardfaut"/>
    <w:uiPriority w:val="99"/>
    <w:unhideWhenUsed/>
    <w:rsid w:val="00B01A8D"/>
    <w:rPr>
      <w:vertAlign w:val="superscript"/>
    </w:rPr>
  </w:style>
  <w:style w:type="character" w:customStyle="1" w:styleId="ParagraphedelisteCar">
    <w:name w:val="Paragraphe de liste Car"/>
    <w:aliases w:val="List Paragraph 1 Car"/>
    <w:basedOn w:val="Policepardfaut"/>
    <w:link w:val="Paragraphedeliste"/>
    <w:uiPriority w:val="34"/>
    <w:locked/>
    <w:rsid w:val="00B01A8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600056">
      <w:bodyDiv w:val="1"/>
      <w:marLeft w:val="0"/>
      <w:marRight w:val="0"/>
      <w:marTop w:val="0"/>
      <w:marBottom w:val="0"/>
      <w:divBdr>
        <w:top w:val="none" w:sz="0" w:space="0" w:color="auto"/>
        <w:left w:val="none" w:sz="0" w:space="0" w:color="auto"/>
        <w:bottom w:val="none" w:sz="0" w:space="0" w:color="auto"/>
        <w:right w:val="none" w:sz="0" w:space="0" w:color="auto"/>
      </w:divBdr>
      <w:divsChild>
        <w:div w:id="1117797915">
          <w:marLeft w:val="0"/>
          <w:marRight w:val="0"/>
          <w:marTop w:val="0"/>
          <w:marBottom w:val="0"/>
          <w:divBdr>
            <w:top w:val="none" w:sz="0" w:space="0" w:color="auto"/>
            <w:left w:val="none" w:sz="0" w:space="0" w:color="auto"/>
            <w:bottom w:val="none" w:sz="0" w:space="0" w:color="auto"/>
            <w:right w:val="none" w:sz="0" w:space="0" w:color="auto"/>
          </w:divBdr>
          <w:divsChild>
            <w:div w:id="12365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collab.govshare.fed.be/processes/circulaires/Omzendbrieven/20250520140101/Bijlage%202_PensioenattestenOverlevingspensioenen.docx"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yperlink" Target="https://collab.govshare.fed.be/processes/circulaires/Omzendbrieven/20250520140101/Bijlage%201_OverzichtIndicatoren.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70C78"/>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43</Value>
    </TaxCatchAll>
    <Omzendbrief_x0020_datum xmlns="a445d3d8-28a8-4826-ad51-85ae78dbc123">2025-05-19T22:00:00+00:00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s>
    </g7ae3e1ae2664f8e8c2d1d16ac6e26f8>
    <Omzendbrief_x0020_volgnr xmlns="a445d3d8-28a8-4826-ad51-85ae78dbc123">130</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7607</Dossier>
    <Betreft xmlns="a445d3d8-28a8-4826-ad51-85ae78dbc123">&lt;div class="ExternalClassB679757AD5CC40C48C1BC6483742B1D6"&gt;&lt;p&gt;​&lt;strong&gt;&lt;span lang="EN-US" style="font-size&amp;#58;9pt;line-height&amp;#58;107%;font-family&amp;#58;arial, sans-serif;"&gt;Bewijs van indicatoren van rechthebbende op de
verhoogde verzekeringstegemoetkoming (V.T.) zonder de toepassing van de referentieperiode
van één jaar.&lt;/span&gt;&lt;/strong&gt;&lt;span lang="EN-US" style="font-size&amp;#58;9pt;line-height&amp;#58;107%;font-family&amp;#58;arial, sans-serif;"&gt;​&lt;/span&gt;​&lt;br&gt;&lt;/p&gt;&lt;/div&gt;</Betreft>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337</replaces-ozb-sequence-nr>
    <replaces-ozb-nr xmlns="a445d3d8-28a8-4826-ad51-85ae78dbc123">2024</replaces-ozb-nr>
    <replaces-ozb-date xmlns="a445d3d8-28a8-4826-ad51-85ae78dbc123">2024-11-27T23:00:00+00:00</replaces-ozb-date>
    <Circulaire-Name xmlns="a771fd84-99d5-44c2-9dac-0b7cb5888153" xsi:nil="true"/>
    <Betreft-FR xmlns="a771fd84-99d5-44c2-9dac-0b7cb5888153">&lt;div class="ExternalClassFCB34BD8FDAC4226A5D569455A36D7EE"&gt;&lt;p&gt;​&lt;strong&gt;&lt;span lang="EN-US" style="font-size&amp;#58;9pt;line-height&amp;#58;107%;font-family&amp;#58;arial, sans-serif;"&gt;Preuve de l'existence d'indicateurs permettant
de bénéficier de l'intervention majorée (I.M.) sans application de la période
de référence d'un an.&lt;/span&gt;&lt;/strong&gt;&lt;br&gt;&lt;/p&gt;&lt;/div&gt;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2.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7613</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7613</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7613</ItemId>
      <FieldId>67fa0b52-67bd-4ed8-837e-ecf24c4b2684</FieldId>
      <FieldInternalName>Omzendbrief_x0020_volgnr</FieldInternalName>
    </FieldValueSource>
  </FieldMetadata>
  <FieldMetadata>
    <SdtId>1181083119</SdtId>
    <Tag>rubr_x002d_multiline</Tag>
    <IsReadOnly>False</IsReadOnly>
    <Value><![CDATA[
3991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7613</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7613</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7607</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7613</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7613</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7613</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7607</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7613</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7607</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7613</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7613</ItemId>
      <FieldId>65c6f9ed-f47d-44e6-abd1-7cdebcafdd8b</FieldId>
      <FieldInternalName>Cel_x003A_Titel</FieldInternalName>
    </FieldValueSource>
  </FieldMetadata>
</FieldMetadatas>
</file>

<file path=customXml/item3.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4.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mso-contentType ?>
<FormTemplates>
  <Display>DocumentLibraryForm</Display>
  <Edit>DocumentLibraryForm</Edit>
  <New>DocumentLibraryForm</New>
  <MobileDisplayFormUrl/>
  <MobileEditFormUrl/>
  <MobileNewFormUrl/>
</FormTemplates>
</file>

<file path=customXml/item7.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7489E9-BCCE-440D-B434-29E52A617D55}">
  <ds:schemaRefs>
    <ds:schemaRef ds:uri="http://schemas.microsoft.com/office/2006/metadata/properties"/>
    <ds:schemaRef ds:uri="a771fd84-99d5-44c2-9dac-0b7cb5888153"/>
    <ds:schemaRef ds:uri="http://schemas.microsoft.com/office/infopath/2007/PartnerControls"/>
    <ds:schemaRef ds:uri="http://purl.org/dc/terms/"/>
    <ds:schemaRef ds:uri="http://purl.org/dc/dcmitype/"/>
    <ds:schemaRef ds:uri="http://schemas.openxmlformats.org/package/2006/metadata/core-properties"/>
    <ds:schemaRef ds:uri="872641a8-5ee1-4ad8-a2c8-179bbc26f47e"/>
    <ds:schemaRef ds:uri="a445d3d8-28a8-4826-ad51-85ae78dbc123"/>
    <ds:schemaRef ds:uri="http://schemas.microsoft.com/office/2006/documentManagement/types"/>
    <ds:schemaRef ds:uri="5c99ba27-9f4a-43d1-a433-cd21c0c58a91"/>
    <ds:schemaRef ds:uri="http://schemas.microsoft.com/sharepoint/v3"/>
    <ds:schemaRef ds:uri="http://www.w3.org/XML/1998/namespace"/>
    <ds:schemaRef ds:uri="http://purl.org/dc/elements/1.1/"/>
  </ds:schemaRefs>
</ds:datastoreItem>
</file>

<file path=customXml/itemProps2.xml><?xml version="1.0" encoding="utf-8"?>
<ds:datastoreItem xmlns:ds="http://schemas.openxmlformats.org/officeDocument/2006/customXml" ds:itemID="{C2D5E3F8-B467-43C4-896D-A4953541AB8D}">
  <ds:schemaRefs>
    <ds:schemaRef ds:uri="http://schemas.enovapoint.com/SP/FieldMetadataCollection"/>
  </ds:schemaRefs>
</ds:datastoreItem>
</file>

<file path=customXml/itemProps3.xml><?xml version="1.0" encoding="utf-8"?>
<ds:datastoreItem xmlns:ds="http://schemas.openxmlformats.org/officeDocument/2006/customXml" ds:itemID="{D683C286-792E-44E5-B9E1-C552FAAA3604}">
  <ds:schemaRefs>
    <ds:schemaRef ds:uri="http://schemas.enovapoint.com/SP/DocumentSettings"/>
  </ds:schemaRefs>
</ds:datastoreItem>
</file>

<file path=customXml/itemProps4.xml><?xml version="1.0" encoding="utf-8"?>
<ds:datastoreItem xmlns:ds="http://schemas.openxmlformats.org/officeDocument/2006/customXml" ds:itemID="{97394AB8-CD9F-46A8-B801-21A6C4FABD77}"/>
</file>

<file path=customXml/itemProps5.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6.xml><?xml version="1.0" encoding="utf-8"?>
<ds:datastoreItem xmlns:ds="http://schemas.openxmlformats.org/officeDocument/2006/customXml" ds:itemID="{54CEB964-429C-49DB-B0CA-7CAE2E227C4F}">
  <ds:schemaRefs/>
</ds:datastoreItem>
</file>

<file path=customXml/itemProps7.xml><?xml version="1.0" encoding="utf-8"?>
<ds:datastoreItem xmlns:ds="http://schemas.openxmlformats.org/officeDocument/2006/customXml" ds:itemID="{FB354CA8-E297-4F14-8E6E-F89605EF8C29}"/>
</file>

<file path=docProps/app.xml><?xml version="1.0" encoding="utf-8"?>
<Properties xmlns="http://schemas.openxmlformats.org/officeDocument/2006/extended-properties" xmlns:vt="http://schemas.openxmlformats.org/officeDocument/2006/docPropsVTypes">
  <Template>Normal.dotm</Template>
  <TotalTime>0</TotalTime>
  <Pages>9</Pages>
  <Words>3041</Words>
  <Characters>16726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Preuve de l'existence d'indicateurs permettant de bénéficier de l'intervention majorée (I.M.) sans application de la période de référence d'un an.</dc:title>
  <dc:subject/>
  <dc:creator>Jacobs Tom</dc:creator>
  <cp:keywords/>
  <dc:description/>
  <cp:lastModifiedBy>Benjamin Minne (RIZIV-INAMI)</cp:lastModifiedBy>
  <cp:revision>38</cp:revision>
  <dcterms:created xsi:type="dcterms:W3CDTF">2022-08-11T11:23:00Z</dcterms:created>
  <dcterms:modified xsi:type="dcterms:W3CDTF">2025-05-20T12:08:00Z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0x010100BDF9EAF7E7FE59449502797BFB51743F005D2944E73DC272469E1B2589C7415C95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43;#3991 - Verhoogde verzekeringstegemoetkoming|cdb6210b-c6e0-441b-83e5-32a5a832b07e</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