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A6F1" w14:textId="77777777" w:rsidR="00527FFA" w:rsidRPr="00527FFA" w:rsidRDefault="00527FFA" w:rsidP="00527FFA">
      <w:pPr>
        <w:widowControl w:val="0"/>
        <w:tabs>
          <w:tab w:val="center" w:pos="4819"/>
        </w:tabs>
        <w:jc w:val="center"/>
        <w:rPr>
          <w:b/>
          <w:snapToGrid w:val="0"/>
          <w:spacing w:val="-3"/>
          <w:sz w:val="20"/>
          <w:szCs w:val="20"/>
          <w:u w:val="single"/>
          <w:lang w:val="nl-BE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BE"/>
        </w:rPr>
        <w:t>ZESDE WIJZIGINGSCLAUSULE BIJ DE OVEREENKOMST TUSSEN</w:t>
      </w:r>
    </w:p>
    <w:p w14:paraId="4E2C3A4D" w14:textId="77777777" w:rsidR="00527FFA" w:rsidRPr="00527FFA" w:rsidRDefault="00527FFA" w:rsidP="00527FFA">
      <w:pPr>
        <w:widowControl w:val="0"/>
        <w:tabs>
          <w:tab w:val="center" w:pos="4819"/>
        </w:tabs>
        <w:jc w:val="center"/>
        <w:rPr>
          <w:snapToGrid w:val="0"/>
          <w:spacing w:val="-3"/>
          <w:sz w:val="20"/>
          <w:szCs w:val="20"/>
          <w:lang w:val="nl-BE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BE"/>
        </w:rPr>
        <w:t>DE APOTHEKERS EN DE VERZEKERINGSINSTELLINGEN</w:t>
      </w:r>
    </w:p>
    <w:p w14:paraId="11C57225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5EB8A492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6C8E588B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>Gelet op de wetgeving inzake verplichte verzekering voor geneeskundige verzorging en uitkeringen,</w:t>
      </w:r>
    </w:p>
    <w:p w14:paraId="2BE7AEBB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7226F480" w14:textId="542DFC2E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 xml:space="preserve">Tijdens de vergadering van de Overeenkomstencommissie tussen de apothekers en de verzekeringsinstellingen van </w:t>
      </w:r>
      <w:r w:rsidR="006E34CE">
        <w:rPr>
          <w:snapToGrid w:val="0"/>
          <w:spacing w:val="-3"/>
          <w:sz w:val="20"/>
          <w:szCs w:val="20"/>
          <w:lang w:val="nl-BE"/>
        </w:rPr>
        <w:t>29 november 2024</w:t>
      </w:r>
      <w:r w:rsidRPr="00527FFA">
        <w:rPr>
          <w:snapToGrid w:val="0"/>
          <w:spacing w:val="-3"/>
          <w:sz w:val="20"/>
          <w:szCs w:val="20"/>
          <w:lang w:val="nl-BE"/>
        </w:rPr>
        <w:t xml:space="preserve">, onder het voorzitterschap van Mevrouw V. </w:t>
      </w:r>
      <w:r w:rsidRPr="006E34CE">
        <w:rPr>
          <w:snapToGrid w:val="0"/>
          <w:spacing w:val="-3"/>
          <w:sz w:val="20"/>
          <w:szCs w:val="20"/>
          <w:lang w:val="nl-BE"/>
        </w:rPr>
        <w:t>KNAPPENBERG</w:t>
      </w:r>
      <w:r w:rsidRPr="00527FFA">
        <w:rPr>
          <w:snapToGrid w:val="0"/>
          <w:spacing w:val="-3"/>
          <w:sz w:val="20"/>
          <w:szCs w:val="20"/>
          <w:lang w:val="nl-BE"/>
        </w:rPr>
        <w:t>, Adviseur, daartoe gedelegeerd door de heer F. ARICKX, Adviseur-generaal, daartoe gedelegeerd door de heer M. DAUBIE, Directeur-generaal, Leidend ambtenaar van de Dienst voor geneeskundige verzorging, wordt overeengekomen wat volgt tussen:</w:t>
      </w:r>
    </w:p>
    <w:p w14:paraId="5B7ED805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</w:p>
    <w:p w14:paraId="2C322C08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>enerzijds,</w:t>
      </w:r>
    </w:p>
    <w:p w14:paraId="1BCFFE2F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</w:p>
    <w:p w14:paraId="15570B4C" w14:textId="77777777" w:rsidR="00527FFA" w:rsidRPr="00527FFA" w:rsidRDefault="00527FFA" w:rsidP="00527FFA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>de vertegenwoordigers van de verzekeringsinstellingen,</w:t>
      </w:r>
    </w:p>
    <w:p w14:paraId="47591B41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</w:p>
    <w:p w14:paraId="407772BE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>en anderzijds,</w:t>
      </w:r>
    </w:p>
    <w:p w14:paraId="4179AC9A" w14:textId="77777777" w:rsidR="00527FFA" w:rsidRPr="00527FFA" w:rsidRDefault="00527FFA" w:rsidP="00527FFA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0"/>
          <w:szCs w:val="20"/>
          <w:lang w:val="nl-BE"/>
        </w:rPr>
      </w:pPr>
    </w:p>
    <w:p w14:paraId="73DF7805" w14:textId="77777777" w:rsidR="00527FFA" w:rsidRPr="00527FFA" w:rsidRDefault="00527FFA" w:rsidP="00527FFA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>de vertegenwoordigers van de beroepsverenigingen van de apothekers,</w:t>
      </w:r>
    </w:p>
    <w:p w14:paraId="5F0C3D1E" w14:textId="77777777" w:rsidR="00527FFA" w:rsidRPr="00527FFA" w:rsidRDefault="00527FFA" w:rsidP="00527FFA">
      <w:pPr>
        <w:widowControl w:val="0"/>
        <w:tabs>
          <w:tab w:val="left" w:pos="-1440"/>
          <w:tab w:val="left" w:pos="-720"/>
          <w:tab w:val="left" w:pos="0"/>
          <w:tab w:val="left" w:pos="720"/>
        </w:tabs>
        <w:ind w:left="1440" w:hanging="1440"/>
        <w:jc w:val="both"/>
        <w:rPr>
          <w:b/>
          <w:snapToGrid w:val="0"/>
          <w:spacing w:val="-3"/>
          <w:sz w:val="20"/>
          <w:szCs w:val="20"/>
          <w:u w:val="single"/>
          <w:lang w:val="nl-BE"/>
        </w:rPr>
      </w:pPr>
    </w:p>
    <w:p w14:paraId="739197EA" w14:textId="77777777" w:rsidR="00527FFA" w:rsidRPr="00527FFA" w:rsidRDefault="00527FFA" w:rsidP="00527FFA">
      <w:pPr>
        <w:widowControl w:val="0"/>
        <w:tabs>
          <w:tab w:val="left" w:pos="-1440"/>
          <w:tab w:val="left" w:pos="-720"/>
          <w:tab w:val="left" w:pos="0"/>
          <w:tab w:val="left" w:pos="720"/>
        </w:tabs>
        <w:ind w:left="1440" w:hanging="1440"/>
        <w:jc w:val="both"/>
        <w:rPr>
          <w:b/>
          <w:snapToGrid w:val="0"/>
          <w:spacing w:val="-3"/>
          <w:sz w:val="20"/>
          <w:szCs w:val="20"/>
          <w:u w:val="single"/>
          <w:lang w:val="nl-BE"/>
        </w:rPr>
      </w:pPr>
    </w:p>
    <w:p w14:paraId="337DDB0D" w14:textId="77777777" w:rsidR="00527FFA" w:rsidRPr="00527FFA" w:rsidRDefault="00527FFA" w:rsidP="00527FFA">
      <w:pPr>
        <w:widowControl w:val="0"/>
        <w:tabs>
          <w:tab w:val="center" w:pos="4819"/>
        </w:tabs>
        <w:jc w:val="both"/>
        <w:rPr>
          <w:snapToGrid w:val="0"/>
          <w:sz w:val="20"/>
          <w:szCs w:val="20"/>
          <w:lang w:val="nl-BE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BE"/>
        </w:rPr>
        <w:t>Artikel 1.</w:t>
      </w:r>
      <w:r w:rsidRPr="00527FFA">
        <w:rPr>
          <w:snapToGrid w:val="0"/>
          <w:spacing w:val="-3"/>
          <w:sz w:val="20"/>
          <w:szCs w:val="20"/>
          <w:lang w:val="nl-BE"/>
        </w:rPr>
        <w:t xml:space="preserve"> Benzodiazepines</w:t>
      </w:r>
    </w:p>
    <w:p w14:paraId="7E49630D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snapToGrid w:val="0"/>
          <w:spacing w:val="-3"/>
          <w:sz w:val="20"/>
          <w:szCs w:val="20"/>
          <w:lang w:val="nl-BE"/>
        </w:rPr>
      </w:pPr>
    </w:p>
    <w:p w14:paraId="6069E80D" w14:textId="77777777" w:rsidR="00527FFA" w:rsidRPr="00527FFA" w:rsidRDefault="00527FFA" w:rsidP="00527FFA">
      <w:pPr>
        <w:jc w:val="both"/>
        <w:rPr>
          <w:rFonts w:eastAsia="Calibri" w:cs="Arial"/>
          <w:sz w:val="20"/>
          <w:szCs w:val="20"/>
          <w:lang w:val="nl-BE"/>
        </w:rPr>
      </w:pPr>
      <w:r w:rsidRPr="00527FFA">
        <w:rPr>
          <w:rFonts w:eastAsia="Calibri" w:cs="Arial"/>
          <w:sz w:val="20"/>
          <w:szCs w:val="20"/>
          <w:lang w:val="nl-BE"/>
        </w:rPr>
        <w:t>1° Artikel 3 van de eerste wijzigingsclausule bij de Overeenkomst tussen de apothekers en de verzekeringsinstellingen, wordt vervangen als volgt :</w:t>
      </w:r>
    </w:p>
    <w:p w14:paraId="59F81E27" w14:textId="77777777" w:rsidR="00527FFA" w:rsidRPr="00527FFA" w:rsidRDefault="00527FFA" w:rsidP="00527FFA">
      <w:pPr>
        <w:autoSpaceDE w:val="0"/>
        <w:autoSpaceDN w:val="0"/>
        <w:adjustRightInd w:val="0"/>
        <w:rPr>
          <w:rFonts w:eastAsia="Calibri" w:cs="Arial"/>
          <w:sz w:val="20"/>
          <w:szCs w:val="20"/>
          <w:lang w:val="nl-BE"/>
        </w:rPr>
      </w:pPr>
    </w:p>
    <w:p w14:paraId="1EA9996F" w14:textId="77777777" w:rsidR="00527FFA" w:rsidRPr="006E34CE" w:rsidRDefault="00527FFA" w:rsidP="00527FFA">
      <w:pPr>
        <w:jc w:val="both"/>
        <w:rPr>
          <w:rFonts w:cs="Arial"/>
          <w:sz w:val="20"/>
          <w:szCs w:val="20"/>
          <w:lang w:val="nl-NL"/>
        </w:rPr>
      </w:pPr>
      <w:r w:rsidRPr="00527FFA">
        <w:rPr>
          <w:rFonts w:cs="Arial"/>
          <w:sz w:val="20"/>
          <w:szCs w:val="20"/>
          <w:lang w:val="nl-NL"/>
        </w:rPr>
        <w:t xml:space="preserve">“ Deze overeenkomst treedt in werking </w:t>
      </w:r>
      <w:r w:rsidRPr="006E34CE">
        <w:rPr>
          <w:rFonts w:cs="Arial"/>
          <w:sz w:val="20"/>
          <w:szCs w:val="20"/>
          <w:lang w:val="nl-NL"/>
        </w:rPr>
        <w:t>op 01/02/2023.”</w:t>
      </w:r>
    </w:p>
    <w:p w14:paraId="6B6FF3F0" w14:textId="77777777" w:rsidR="00527FFA" w:rsidRPr="00527FFA" w:rsidRDefault="00527FFA" w:rsidP="00527FFA">
      <w:pPr>
        <w:jc w:val="both"/>
        <w:rPr>
          <w:rFonts w:cs="Arial"/>
          <w:sz w:val="20"/>
          <w:szCs w:val="20"/>
          <w:lang w:val="nl-NL"/>
        </w:rPr>
      </w:pPr>
    </w:p>
    <w:p w14:paraId="40EE3C5E" w14:textId="77777777" w:rsidR="00527FFA" w:rsidRPr="00527FFA" w:rsidRDefault="00527FFA" w:rsidP="00527FFA">
      <w:pPr>
        <w:jc w:val="both"/>
        <w:rPr>
          <w:rFonts w:cs="Arial"/>
          <w:sz w:val="20"/>
          <w:szCs w:val="20"/>
          <w:lang w:val="nl-NL"/>
        </w:rPr>
      </w:pPr>
      <w:r w:rsidRPr="006E34CE">
        <w:rPr>
          <w:rFonts w:cs="Arial"/>
          <w:sz w:val="20"/>
          <w:szCs w:val="20"/>
          <w:lang w:val="nl-NL"/>
        </w:rPr>
        <w:t>2° In artikel 15</w:t>
      </w:r>
      <w:r w:rsidRPr="006E34CE">
        <w:rPr>
          <w:rFonts w:cs="Arial"/>
          <w:i/>
          <w:iCs/>
          <w:sz w:val="20"/>
          <w:szCs w:val="20"/>
          <w:lang w:val="nl-NL"/>
        </w:rPr>
        <w:t>bis</w:t>
      </w:r>
      <w:r w:rsidRPr="006E34CE">
        <w:rPr>
          <w:rFonts w:cs="Arial"/>
          <w:sz w:val="20"/>
          <w:szCs w:val="20"/>
          <w:lang w:val="nl-NL"/>
        </w:rPr>
        <w:t>, §5 van de Overeenkomst, zoals ingevoegd bij artikel 2 van de eerste wijzigingsclausule wordt het woord “wekelijks” vervangen door het woord “maandelijks”. In dezelfde § wordt het laatste lid vervangen door “De apothekersorganisaties verbinden zich ertoe om de dienst inhoudelijk te evalueren, telkens wanneer de Overeenkomstencommissie hierom verzoekt”.</w:t>
      </w:r>
      <w:r w:rsidRPr="00527FFA">
        <w:rPr>
          <w:rFonts w:cs="Arial"/>
          <w:sz w:val="20"/>
          <w:szCs w:val="20"/>
          <w:lang w:val="nl-NL"/>
        </w:rPr>
        <w:t xml:space="preserve"> </w:t>
      </w:r>
    </w:p>
    <w:p w14:paraId="0E8EB77F" w14:textId="77777777" w:rsidR="00527FFA" w:rsidRPr="00527FFA" w:rsidRDefault="00527FFA" w:rsidP="00527FFA">
      <w:pPr>
        <w:jc w:val="both"/>
        <w:rPr>
          <w:rFonts w:eastAsia="MS Mincho" w:cs="Arial"/>
          <w:sz w:val="20"/>
          <w:szCs w:val="20"/>
          <w:lang w:val="nl-NL"/>
        </w:rPr>
      </w:pPr>
      <w:r w:rsidRPr="00527FFA">
        <w:rPr>
          <w:rFonts w:cs="Arial"/>
          <w:sz w:val="20"/>
          <w:szCs w:val="20"/>
          <w:lang w:val="nl-NL"/>
        </w:rPr>
        <w:t xml:space="preserve"> </w:t>
      </w:r>
    </w:p>
    <w:p w14:paraId="14223258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snapToGrid w:val="0"/>
          <w:spacing w:val="-3"/>
          <w:sz w:val="20"/>
          <w:szCs w:val="20"/>
          <w:lang w:val="nl-NL"/>
        </w:rPr>
      </w:pPr>
    </w:p>
    <w:p w14:paraId="7EF21E13" w14:textId="77777777" w:rsidR="00527FFA" w:rsidRPr="00527FFA" w:rsidRDefault="00527FFA" w:rsidP="00527FFA">
      <w:pPr>
        <w:widowControl w:val="0"/>
        <w:jc w:val="both"/>
        <w:rPr>
          <w:snapToGrid w:val="0"/>
          <w:sz w:val="20"/>
          <w:szCs w:val="20"/>
          <w:lang w:val="nl-NL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NL"/>
        </w:rPr>
        <w:t>Artikel 2.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Huisapotheker</w:t>
      </w:r>
    </w:p>
    <w:p w14:paraId="2978C361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snapToGrid w:val="0"/>
          <w:spacing w:val="-3"/>
          <w:sz w:val="20"/>
          <w:szCs w:val="20"/>
          <w:lang w:val="nl-NL"/>
        </w:rPr>
      </w:pPr>
    </w:p>
    <w:p w14:paraId="18EC191D" w14:textId="77777777" w:rsidR="00527FFA" w:rsidRPr="00527FFA" w:rsidRDefault="00527FFA" w:rsidP="00527FFA">
      <w:pPr>
        <w:widowControl w:val="0"/>
        <w:jc w:val="both"/>
        <w:rPr>
          <w:snapToGrid w:val="0"/>
          <w:spacing w:val="-3"/>
          <w:sz w:val="20"/>
          <w:szCs w:val="20"/>
          <w:lang w:val="nl-NL"/>
        </w:rPr>
      </w:pPr>
      <w:r w:rsidRPr="00527FFA">
        <w:rPr>
          <w:snapToGrid w:val="0"/>
          <w:spacing w:val="-3"/>
          <w:sz w:val="20"/>
          <w:szCs w:val="20"/>
          <w:lang w:val="nl-NL"/>
        </w:rPr>
        <w:t>1° In artikel 15. Huisapotheker, §2, 3</w:t>
      </w:r>
      <w:r w:rsidRPr="00527FFA">
        <w:rPr>
          <w:snapToGrid w:val="0"/>
          <w:spacing w:val="-3"/>
          <w:sz w:val="20"/>
          <w:szCs w:val="20"/>
          <w:vertAlign w:val="superscript"/>
          <w:lang w:val="nl-NL"/>
        </w:rPr>
        <w:t>de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 lid, 2</w:t>
      </w:r>
      <w:r w:rsidRPr="00527FFA">
        <w:rPr>
          <w:snapToGrid w:val="0"/>
          <w:spacing w:val="-3"/>
          <w:sz w:val="20"/>
          <w:szCs w:val="20"/>
          <w:vertAlign w:val="superscript"/>
          <w:lang w:val="nl-NL"/>
        </w:rPr>
        <w:t xml:space="preserve">de 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punt van de Overeenkomst, </w:t>
      </w:r>
      <w:bookmarkStart w:id="0" w:name="_Hlk176436566"/>
      <w:r w:rsidRPr="00527FFA">
        <w:rPr>
          <w:snapToGrid w:val="0"/>
          <w:spacing w:val="-3"/>
          <w:sz w:val="20"/>
          <w:szCs w:val="20"/>
          <w:lang w:val="nl-NL"/>
        </w:rPr>
        <w:t xml:space="preserve">worden de woorden </w:t>
      </w:r>
    </w:p>
    <w:p w14:paraId="348C1BD8" w14:textId="77777777" w:rsidR="00527FFA" w:rsidRPr="00527FFA" w:rsidRDefault="00527FFA" w:rsidP="00527FFA">
      <w:pPr>
        <w:widowControl w:val="0"/>
        <w:jc w:val="both"/>
        <w:rPr>
          <w:snapToGrid w:val="0"/>
          <w:spacing w:val="-3"/>
          <w:sz w:val="20"/>
          <w:szCs w:val="20"/>
          <w:lang w:val="nl-NL"/>
        </w:rPr>
      </w:pPr>
      <w:r w:rsidRPr="00527FFA">
        <w:rPr>
          <w:snapToGrid w:val="0"/>
          <w:spacing w:val="-3"/>
          <w:sz w:val="20"/>
          <w:szCs w:val="20"/>
          <w:lang w:val="nl-NL"/>
        </w:rPr>
        <w:t xml:space="preserve">“ </w:t>
      </w:r>
      <w:bookmarkStart w:id="1" w:name="_Hlk176443389"/>
      <w:r w:rsidRPr="00527FFA">
        <w:rPr>
          <w:rFonts w:eastAsia="MS Mincho" w:cs="Arial"/>
          <w:i/>
          <w:iCs/>
          <w:sz w:val="20"/>
          <w:szCs w:val="20"/>
          <w:lang w:val="nl-BE"/>
        </w:rPr>
        <w:t>voortraject diabetes</w:t>
      </w:r>
      <w:r w:rsidRPr="00527FFA">
        <w:rPr>
          <w:rFonts w:eastAsia="MS Mincho" w:cs="Arial"/>
          <w:sz w:val="20"/>
          <w:szCs w:val="20"/>
          <w:lang w:val="nl-BE"/>
        </w:rPr>
        <w:t xml:space="preserve"> </w:t>
      </w:r>
      <w:bookmarkEnd w:id="1"/>
      <w:r w:rsidRPr="00527FFA">
        <w:rPr>
          <w:rFonts w:eastAsia="MS Mincho" w:cs="Arial"/>
          <w:sz w:val="20"/>
          <w:szCs w:val="20"/>
          <w:lang w:val="nl-BE"/>
        </w:rPr>
        <w:t>”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vervangen door de woorden : “</w:t>
      </w:r>
      <w:bookmarkStart w:id="2" w:name="_Hlk176443093"/>
      <w:r w:rsidRPr="00527FFA">
        <w:rPr>
          <w:snapToGrid w:val="0"/>
          <w:spacing w:val="-3"/>
          <w:sz w:val="20"/>
          <w:szCs w:val="20"/>
          <w:lang w:val="nl-NL"/>
        </w:rPr>
        <w:t xml:space="preserve"> </w:t>
      </w:r>
      <w:r w:rsidRPr="00527FFA">
        <w:rPr>
          <w:i/>
          <w:iCs/>
          <w:snapToGrid w:val="0"/>
          <w:spacing w:val="-3"/>
          <w:sz w:val="20"/>
          <w:szCs w:val="20"/>
          <w:lang w:val="nl-NL"/>
        </w:rPr>
        <w:t>opstarttraject voor een patiënt met diabetes mellitus type 2 “</w:t>
      </w:r>
      <w:bookmarkEnd w:id="2"/>
      <w:r w:rsidRPr="00527FFA">
        <w:rPr>
          <w:snapToGrid w:val="0"/>
          <w:spacing w:val="-3"/>
          <w:sz w:val="20"/>
          <w:szCs w:val="20"/>
          <w:lang w:val="nl-NL"/>
        </w:rPr>
        <w:t>.</w:t>
      </w:r>
    </w:p>
    <w:bookmarkEnd w:id="0"/>
    <w:p w14:paraId="7E14EAAF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snapToGrid w:val="0"/>
          <w:spacing w:val="-3"/>
          <w:sz w:val="20"/>
          <w:szCs w:val="20"/>
          <w:lang w:val="nl-NL"/>
        </w:rPr>
      </w:pPr>
    </w:p>
    <w:p w14:paraId="037C24C7" w14:textId="77777777" w:rsidR="00527FFA" w:rsidRPr="00527FFA" w:rsidRDefault="00527FFA" w:rsidP="00527FFA">
      <w:pPr>
        <w:widowControl w:val="0"/>
        <w:jc w:val="both"/>
        <w:rPr>
          <w:snapToGrid w:val="0"/>
          <w:spacing w:val="-3"/>
          <w:sz w:val="20"/>
          <w:szCs w:val="20"/>
          <w:lang w:val="nl-NL"/>
        </w:rPr>
      </w:pPr>
      <w:r w:rsidRPr="00527FFA">
        <w:rPr>
          <w:snapToGrid w:val="0"/>
          <w:spacing w:val="-3"/>
          <w:sz w:val="20"/>
          <w:szCs w:val="20"/>
          <w:lang w:val="nl-NL"/>
        </w:rPr>
        <w:t>2° In Bijlage V, 5. Doelgroepen, 4</w:t>
      </w:r>
      <w:r w:rsidRPr="00527FFA">
        <w:rPr>
          <w:snapToGrid w:val="0"/>
          <w:spacing w:val="-3"/>
          <w:sz w:val="20"/>
          <w:szCs w:val="20"/>
          <w:vertAlign w:val="superscript"/>
          <w:lang w:val="nl-NL"/>
        </w:rPr>
        <w:t>de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lid, 2</w:t>
      </w:r>
      <w:r w:rsidRPr="00527FFA">
        <w:rPr>
          <w:snapToGrid w:val="0"/>
          <w:spacing w:val="-3"/>
          <w:sz w:val="20"/>
          <w:szCs w:val="20"/>
          <w:vertAlign w:val="superscript"/>
          <w:lang w:val="nl-NL"/>
        </w:rPr>
        <w:t>de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punt, bij de Overeenkomst worden de woorden “ </w:t>
      </w:r>
      <w:r w:rsidRPr="00527FFA">
        <w:rPr>
          <w:rFonts w:eastAsia="MS Mincho" w:cs="Arial"/>
          <w:i/>
          <w:iCs/>
          <w:sz w:val="20"/>
          <w:szCs w:val="20"/>
          <w:lang w:val="nl-BE"/>
        </w:rPr>
        <w:t>voortraject diabetes</w:t>
      </w:r>
      <w:r w:rsidRPr="00527FFA">
        <w:rPr>
          <w:i/>
          <w:iCs/>
          <w:snapToGrid w:val="0"/>
          <w:spacing w:val="-3"/>
          <w:sz w:val="20"/>
          <w:szCs w:val="20"/>
          <w:lang w:val="nl-NL"/>
        </w:rPr>
        <w:t xml:space="preserve"> ”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vervangen door de woorden : “ </w:t>
      </w:r>
      <w:r w:rsidRPr="00527FFA">
        <w:rPr>
          <w:i/>
          <w:iCs/>
          <w:snapToGrid w:val="0"/>
          <w:spacing w:val="-3"/>
          <w:sz w:val="20"/>
          <w:szCs w:val="20"/>
          <w:lang w:val="nl-NL"/>
        </w:rPr>
        <w:t>opstarttraject voor een patiënt met diabetes mellitus type 2 “.</w:t>
      </w:r>
    </w:p>
    <w:p w14:paraId="4C9B9AAB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snapToGrid w:val="0"/>
          <w:spacing w:val="-3"/>
          <w:sz w:val="20"/>
          <w:szCs w:val="20"/>
          <w:lang w:val="nl-NL"/>
        </w:rPr>
      </w:pPr>
    </w:p>
    <w:p w14:paraId="08896AB1" w14:textId="77777777" w:rsidR="00527FFA" w:rsidRPr="00527FFA" w:rsidRDefault="00527FFA" w:rsidP="00527FFA">
      <w:pPr>
        <w:widowControl w:val="0"/>
        <w:tabs>
          <w:tab w:val="left" w:pos="1106"/>
          <w:tab w:val="left" w:pos="1276"/>
          <w:tab w:val="left" w:pos="1682"/>
          <w:tab w:val="left" w:pos="2266"/>
          <w:tab w:val="left" w:pos="3404"/>
        </w:tabs>
        <w:ind w:left="1682" w:hanging="1682"/>
        <w:jc w:val="both"/>
        <w:rPr>
          <w:snapToGrid w:val="0"/>
          <w:spacing w:val="-3"/>
          <w:sz w:val="20"/>
          <w:szCs w:val="20"/>
          <w:lang w:val="nl-NL"/>
        </w:rPr>
      </w:pPr>
    </w:p>
    <w:p w14:paraId="1ACEB03D" w14:textId="77777777" w:rsidR="00527FFA" w:rsidRPr="00527FFA" w:rsidRDefault="00527FFA" w:rsidP="00527FFA">
      <w:pPr>
        <w:widowControl w:val="0"/>
        <w:jc w:val="both"/>
        <w:rPr>
          <w:snapToGrid w:val="0"/>
          <w:sz w:val="20"/>
          <w:szCs w:val="20"/>
          <w:lang w:val="nl-NL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NL"/>
        </w:rPr>
        <w:t>Artikel 3.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GGG Astma</w:t>
      </w:r>
    </w:p>
    <w:p w14:paraId="064BE6E3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snapToGrid w:val="0"/>
          <w:spacing w:val="-3"/>
          <w:sz w:val="20"/>
          <w:szCs w:val="20"/>
          <w:lang w:val="nl-NL"/>
        </w:rPr>
      </w:pPr>
    </w:p>
    <w:p w14:paraId="28E533F6" w14:textId="77777777" w:rsidR="00527FFA" w:rsidRPr="00527FFA" w:rsidRDefault="00527FFA" w:rsidP="00527FFA">
      <w:pPr>
        <w:widowControl w:val="0"/>
        <w:jc w:val="both"/>
        <w:rPr>
          <w:bCs/>
          <w:snapToGrid w:val="0"/>
          <w:spacing w:val="-3"/>
          <w:sz w:val="20"/>
          <w:szCs w:val="20"/>
          <w:lang w:val="nl-NL"/>
        </w:rPr>
      </w:pPr>
      <w:r w:rsidRPr="00527FFA">
        <w:rPr>
          <w:snapToGrid w:val="0"/>
          <w:spacing w:val="-3"/>
          <w:sz w:val="20"/>
          <w:szCs w:val="20"/>
          <w:lang w:val="nl-NL"/>
        </w:rPr>
        <w:t>In Bijlage III, Document 1, .3.</w:t>
      </w:r>
      <w:r w:rsidRPr="00527FFA">
        <w:rPr>
          <w:rFonts w:eastAsia="Verdana" w:cs="Arial"/>
          <w:snapToGrid w:val="0"/>
          <w:sz w:val="20"/>
          <w:szCs w:val="20"/>
          <w:lang w:val="nl-NL"/>
        </w:rPr>
        <w:t xml:space="preserve"> Doelgroep begeleidingsgesprek voor goed gebruik van geneesmiddelen: inhalatiecorticosteroïden</w:t>
      </w:r>
      <w:r w:rsidRPr="00527FFA">
        <w:rPr>
          <w:rFonts w:eastAsia="Verdana" w:cs="Arial"/>
          <w:b/>
          <w:bCs/>
          <w:snapToGrid w:val="0"/>
          <w:sz w:val="20"/>
          <w:szCs w:val="20"/>
          <w:lang w:val="nl-NL"/>
        </w:rPr>
        <w:t>,</w:t>
      </w:r>
      <w:r w:rsidRPr="00527FFA">
        <w:rPr>
          <w:rFonts w:eastAsia="Verdana" w:cs="Arial"/>
          <w:bCs/>
          <w:snapToGrid w:val="0"/>
          <w:sz w:val="20"/>
          <w:szCs w:val="20"/>
          <w:lang w:val="nl-NL"/>
        </w:rPr>
        <w:t xml:space="preserve"> b. </w:t>
      </w:r>
      <w:r w:rsidRPr="00527FFA">
        <w:rPr>
          <w:rFonts w:eastAsia="Verdana" w:cs="Arial"/>
          <w:snapToGrid w:val="0"/>
          <w:sz w:val="20"/>
          <w:szCs w:val="20"/>
          <w:lang w:val="nl-NL"/>
        </w:rPr>
        <w:t>Keuze van de geneesmiddelen</w:t>
      </w:r>
      <w:r w:rsidRPr="00527FFA">
        <w:rPr>
          <w:rFonts w:eastAsia="Verdana" w:cs="Arial"/>
          <w:bCs/>
          <w:snapToGrid w:val="0"/>
          <w:sz w:val="20"/>
          <w:szCs w:val="20"/>
          <w:lang w:val="nl-NL"/>
        </w:rPr>
        <w:t xml:space="preserve">, bij de Overeenkomst wordt </w:t>
      </w:r>
      <w:r w:rsidRPr="00527FFA">
        <w:rPr>
          <w:rFonts w:eastAsia="Verdana" w:cs="Arial"/>
          <w:b/>
          <w:snapToGrid w:val="0"/>
          <w:sz w:val="20"/>
          <w:szCs w:val="20"/>
          <w:lang w:val="nl-NL"/>
        </w:rPr>
        <w:t>ii</w:t>
      </w:r>
      <w:r w:rsidRPr="00527FFA">
        <w:rPr>
          <w:rFonts w:eastAsia="Verdana" w:cs="Arial"/>
          <w:bCs/>
          <w:snapToGrid w:val="0"/>
          <w:sz w:val="20"/>
          <w:szCs w:val="20"/>
          <w:lang w:val="nl-NL"/>
        </w:rPr>
        <w:t xml:space="preserve"> vervangen door :</w:t>
      </w:r>
    </w:p>
    <w:p w14:paraId="7C071F42" w14:textId="77777777" w:rsidR="00527FFA" w:rsidRPr="00527FFA" w:rsidRDefault="00527FFA" w:rsidP="00527FFA">
      <w:pPr>
        <w:widowControl w:val="0"/>
        <w:numPr>
          <w:ilvl w:val="2"/>
          <w:numId w:val="1"/>
        </w:numPr>
        <w:ind w:left="1560" w:right="-34" w:hanging="142"/>
        <w:rPr>
          <w:rFonts w:eastAsia="Verdana" w:cs="Arial"/>
          <w:i/>
          <w:iCs/>
          <w:snapToGrid w:val="0"/>
          <w:sz w:val="20"/>
          <w:szCs w:val="20"/>
          <w:lang w:val="de-DE"/>
        </w:rPr>
      </w:pPr>
      <w:proofErr w:type="spellStart"/>
      <w:r w:rsidRPr="00527FFA">
        <w:rPr>
          <w:rFonts w:eastAsia="Verdana" w:cs="Arial"/>
          <w:i/>
          <w:iCs/>
          <w:snapToGrid w:val="0"/>
          <w:sz w:val="20"/>
          <w:szCs w:val="20"/>
          <w:lang w:val="de-DE"/>
        </w:rPr>
        <w:t>Monopreparaten</w:t>
      </w:r>
      <w:proofErr w:type="spellEnd"/>
      <w:r w:rsidRPr="00527FFA">
        <w:rPr>
          <w:rFonts w:eastAsia="Verdana" w:cs="Arial"/>
          <w:i/>
          <w:iCs/>
          <w:snapToGrid w:val="0"/>
          <w:sz w:val="20"/>
          <w:szCs w:val="20"/>
          <w:lang w:val="de-DE"/>
        </w:rPr>
        <w:t xml:space="preserve"> (</w:t>
      </w:r>
      <w:proofErr w:type="spellStart"/>
      <w:r w:rsidRPr="00527FFA">
        <w:rPr>
          <w:rFonts w:eastAsia="Verdana" w:cs="Arial"/>
          <w:i/>
          <w:iCs/>
          <w:snapToGrid w:val="0"/>
          <w:sz w:val="20"/>
          <w:szCs w:val="20"/>
          <w:lang w:val="de-DE"/>
        </w:rPr>
        <w:t>inhalatiecorticoïden</w:t>
      </w:r>
      <w:proofErr w:type="spellEnd"/>
      <w:r w:rsidRPr="00527FFA">
        <w:rPr>
          <w:rFonts w:eastAsia="Verdana" w:cs="Arial"/>
          <w:i/>
          <w:iCs/>
          <w:snapToGrid w:val="0"/>
          <w:sz w:val="20"/>
          <w:szCs w:val="20"/>
          <w:lang w:val="de-DE"/>
        </w:rPr>
        <w:t xml:space="preserve">, ATC-klasse: R03BA) en </w:t>
      </w:r>
    </w:p>
    <w:p w14:paraId="38471E57" w14:textId="77777777" w:rsidR="00527FFA" w:rsidRPr="00527FFA" w:rsidRDefault="00527FFA" w:rsidP="00527FFA">
      <w:pPr>
        <w:widowControl w:val="0"/>
        <w:ind w:left="1559" w:right="-34"/>
        <w:rPr>
          <w:rFonts w:eastAsia="Verdana" w:cs="Arial"/>
          <w:i/>
          <w:iCs/>
          <w:snapToGrid w:val="0"/>
          <w:sz w:val="20"/>
          <w:szCs w:val="20"/>
          <w:lang w:val="nl-NL"/>
        </w:rPr>
      </w:pPr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>Combinatiepreparaten</w:t>
      </w:r>
    </w:p>
    <w:p w14:paraId="1B63B0B9" w14:textId="77777777" w:rsidR="00527FFA" w:rsidRPr="00527FFA" w:rsidRDefault="00527FFA" w:rsidP="00527FFA">
      <w:pPr>
        <w:widowControl w:val="0"/>
        <w:ind w:left="2268" w:right="-34" w:hanging="142"/>
        <w:rPr>
          <w:rFonts w:eastAsia="Verdana" w:cs="Arial"/>
          <w:i/>
          <w:iCs/>
          <w:strike/>
          <w:snapToGrid w:val="0"/>
          <w:sz w:val="20"/>
          <w:szCs w:val="20"/>
          <w:lang w:val="nl-NL"/>
        </w:rPr>
      </w:pPr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>- (</w:t>
      </w:r>
      <w:proofErr w:type="spellStart"/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>inhalatiecorticoïd</w:t>
      </w:r>
      <w:proofErr w:type="spellEnd"/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 xml:space="preserve"> /sympathicomimeticum, ATC-klasse: R03AK) </w:t>
      </w:r>
    </w:p>
    <w:p w14:paraId="5A7F56C3" w14:textId="77777777" w:rsidR="00527FFA" w:rsidRPr="00527FFA" w:rsidRDefault="00527FFA" w:rsidP="00527FFA">
      <w:pPr>
        <w:widowControl w:val="0"/>
        <w:ind w:left="2127" w:right="-34"/>
        <w:rPr>
          <w:rFonts w:eastAsia="Verdana" w:cs="Arial"/>
          <w:i/>
          <w:iCs/>
          <w:snapToGrid w:val="0"/>
          <w:sz w:val="20"/>
          <w:szCs w:val="20"/>
          <w:lang w:val="nl-NL"/>
        </w:rPr>
      </w:pPr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>en</w:t>
      </w:r>
    </w:p>
    <w:p w14:paraId="62306176" w14:textId="77777777" w:rsidR="00527FFA" w:rsidRPr="00527FFA" w:rsidRDefault="00527FFA" w:rsidP="00527FFA">
      <w:pPr>
        <w:widowControl w:val="0"/>
        <w:ind w:left="2268" w:right="-34" w:hanging="142"/>
        <w:rPr>
          <w:rFonts w:eastAsia="Verdana" w:cs="Arial"/>
          <w:i/>
          <w:iCs/>
          <w:snapToGrid w:val="0"/>
          <w:sz w:val="20"/>
          <w:szCs w:val="20"/>
          <w:lang w:val="nl-NL"/>
        </w:rPr>
      </w:pPr>
      <w:r w:rsidRPr="00527FFA">
        <w:rPr>
          <w:rFonts w:eastAsia="Verdana" w:cs="Arial"/>
          <w:bCs/>
          <w:i/>
          <w:iCs/>
          <w:snapToGrid w:val="0"/>
          <w:sz w:val="20"/>
          <w:szCs w:val="20"/>
          <w:lang w:val="nl-NL"/>
        </w:rPr>
        <w:t xml:space="preserve">- (corticoïde / 2 </w:t>
      </w:r>
      <w:proofErr w:type="spellStart"/>
      <w:r w:rsidRPr="00527FFA">
        <w:rPr>
          <w:rFonts w:eastAsia="Verdana" w:cs="Arial"/>
          <w:bCs/>
          <w:i/>
          <w:iCs/>
          <w:snapToGrid w:val="0"/>
          <w:sz w:val="20"/>
          <w:szCs w:val="20"/>
          <w:lang w:val="nl-NL"/>
        </w:rPr>
        <w:t>bronchodilatatoren</w:t>
      </w:r>
      <w:proofErr w:type="spellEnd"/>
      <w:r w:rsidRPr="00527FFA">
        <w:rPr>
          <w:rFonts w:eastAsia="Verdana" w:cs="Arial"/>
          <w:bCs/>
          <w:i/>
          <w:iCs/>
          <w:snapToGrid w:val="0"/>
          <w:sz w:val="20"/>
          <w:szCs w:val="20"/>
          <w:lang w:val="nl-NL"/>
        </w:rPr>
        <w:t xml:space="preserve"> : een langwerkende </w:t>
      </w:r>
      <w:r w:rsidRPr="00527FFA">
        <w:rPr>
          <w:rFonts w:eastAsia="Verdana" w:cs="Arial"/>
          <w:i/>
          <w:iCs/>
          <w:snapToGrid w:val="0"/>
          <w:sz w:val="20"/>
          <w:szCs w:val="20"/>
          <w:lang w:val="nl-NL"/>
        </w:rPr>
        <w:t>sympathicomimeticum</w:t>
      </w:r>
      <w:r w:rsidRPr="00527FFA">
        <w:rPr>
          <w:rFonts w:eastAsia="Verdana" w:cs="Arial"/>
          <w:bCs/>
          <w:i/>
          <w:iCs/>
          <w:snapToGrid w:val="0"/>
          <w:sz w:val="20"/>
          <w:szCs w:val="20"/>
          <w:lang w:val="nl-NL"/>
        </w:rPr>
        <w:t xml:space="preserve"> (LABA) en een langwerkende anticholinergicum </w:t>
      </w:r>
      <w:r w:rsidRPr="00527FFA">
        <w:rPr>
          <w:rFonts w:eastAsia="Verdana" w:cs="Arial"/>
          <w:bCs/>
          <w:i/>
          <w:iCs/>
          <w:snapToGrid w:val="0"/>
          <w:sz w:val="20"/>
          <w:szCs w:val="20"/>
          <w:lang w:val="nl-NL"/>
        </w:rPr>
        <w:lastRenderedPageBreak/>
        <w:t>(LAMA), klasse ATC R03AL beperkt tot de specialiteiten met als indicatie de behandeling van astma volgens de SKP)</w:t>
      </w:r>
    </w:p>
    <w:p w14:paraId="7517D7E9" w14:textId="77777777" w:rsidR="00527FFA" w:rsidRPr="00527FFA" w:rsidRDefault="00527FFA" w:rsidP="00527FFA">
      <w:pPr>
        <w:widowControl w:val="0"/>
        <w:ind w:left="1560" w:right="-35"/>
        <w:rPr>
          <w:rFonts w:eastAsia="Verdana" w:cs="Arial"/>
          <w:snapToGrid w:val="0"/>
          <w:sz w:val="20"/>
          <w:szCs w:val="20"/>
          <w:lang w:val="en-GB"/>
        </w:rPr>
      </w:pPr>
      <w:r w:rsidRPr="00527FFA">
        <w:rPr>
          <w:rFonts w:eastAsia="Verdana" w:cs="Arial"/>
          <w:i/>
          <w:iCs/>
          <w:snapToGrid w:val="0"/>
          <w:sz w:val="20"/>
          <w:szCs w:val="20"/>
          <w:lang w:val="en-GB"/>
        </w:rPr>
        <w:t xml:space="preserve">: </w:t>
      </w:r>
      <w:proofErr w:type="spellStart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beclomethasonedipropionaat</w:t>
      </w:r>
      <w:proofErr w:type="spellEnd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 xml:space="preserve">, budesonide, </w:t>
      </w:r>
      <w:proofErr w:type="spellStart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fluticason</w:t>
      </w:r>
      <w:proofErr w:type="spellEnd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 xml:space="preserve"> </w:t>
      </w:r>
      <w:proofErr w:type="spellStart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furoaat</w:t>
      </w:r>
      <w:proofErr w:type="spellEnd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 xml:space="preserve">, </w:t>
      </w:r>
      <w:proofErr w:type="spellStart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mometason</w:t>
      </w:r>
      <w:proofErr w:type="spellEnd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 xml:space="preserve"> </w:t>
      </w:r>
      <w:proofErr w:type="spellStart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furoaat</w:t>
      </w:r>
      <w:proofErr w:type="spellEnd"/>
      <w:r w:rsidRPr="00527FFA">
        <w:rPr>
          <w:rFonts w:eastAsia="Verdana" w:cs="Arial"/>
          <w:b/>
          <w:i/>
          <w:iCs/>
          <w:snapToGrid w:val="0"/>
          <w:sz w:val="20"/>
          <w:szCs w:val="20"/>
          <w:lang w:val="en-GB"/>
        </w:rPr>
        <w:t>.</w:t>
      </w:r>
    </w:p>
    <w:p w14:paraId="2EC30300" w14:textId="77777777" w:rsidR="00527FFA" w:rsidRPr="00527FFA" w:rsidRDefault="00527FFA" w:rsidP="00527FFA">
      <w:pPr>
        <w:widowControl w:val="0"/>
        <w:jc w:val="both"/>
        <w:rPr>
          <w:b/>
          <w:snapToGrid w:val="0"/>
          <w:spacing w:val="-3"/>
          <w:sz w:val="20"/>
          <w:szCs w:val="20"/>
          <w:u w:val="single"/>
        </w:rPr>
      </w:pPr>
    </w:p>
    <w:p w14:paraId="0A56EC7F" w14:textId="77777777" w:rsidR="00527FFA" w:rsidRPr="00527FFA" w:rsidRDefault="00527FFA" w:rsidP="00527FFA">
      <w:pPr>
        <w:widowControl w:val="0"/>
        <w:jc w:val="both"/>
        <w:rPr>
          <w:b/>
          <w:snapToGrid w:val="0"/>
          <w:spacing w:val="-3"/>
          <w:sz w:val="20"/>
          <w:szCs w:val="20"/>
          <w:u w:val="single"/>
        </w:rPr>
      </w:pPr>
    </w:p>
    <w:p w14:paraId="43BB8147" w14:textId="77777777" w:rsidR="00527FFA" w:rsidRPr="00527FFA" w:rsidRDefault="00527FFA" w:rsidP="00527FFA">
      <w:pPr>
        <w:widowControl w:val="0"/>
        <w:jc w:val="both"/>
        <w:rPr>
          <w:snapToGrid w:val="0"/>
          <w:sz w:val="20"/>
          <w:szCs w:val="20"/>
          <w:lang w:val="nl-NL"/>
        </w:rPr>
      </w:pPr>
      <w:r w:rsidRPr="00527FFA">
        <w:rPr>
          <w:b/>
          <w:snapToGrid w:val="0"/>
          <w:spacing w:val="-3"/>
          <w:sz w:val="20"/>
          <w:szCs w:val="20"/>
          <w:u w:val="single"/>
          <w:lang w:val="nl-NL"/>
        </w:rPr>
        <w:t>Artikel 4.</w:t>
      </w:r>
      <w:r w:rsidRPr="00527FFA">
        <w:rPr>
          <w:snapToGrid w:val="0"/>
          <w:spacing w:val="-3"/>
          <w:sz w:val="20"/>
          <w:szCs w:val="20"/>
          <w:lang w:val="nl-NL"/>
        </w:rPr>
        <w:t xml:space="preserve"> GGG COPD</w:t>
      </w:r>
    </w:p>
    <w:p w14:paraId="0B5B6307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snapToGrid w:val="0"/>
          <w:spacing w:val="-3"/>
          <w:sz w:val="20"/>
          <w:szCs w:val="20"/>
          <w:lang w:val="nl-NL"/>
        </w:rPr>
      </w:pPr>
    </w:p>
    <w:p w14:paraId="4BF2BC0A" w14:textId="77777777" w:rsidR="00527FFA" w:rsidRPr="00527FFA" w:rsidRDefault="00527FFA" w:rsidP="00527FFA">
      <w:pPr>
        <w:jc w:val="both"/>
        <w:rPr>
          <w:rFonts w:eastAsia="Arial" w:cs="Arial"/>
          <w:snapToGrid w:val="0"/>
          <w:sz w:val="20"/>
          <w:szCs w:val="20"/>
          <w:lang w:val="nl-NL"/>
        </w:rPr>
      </w:pPr>
      <w:r w:rsidRPr="00527FFA">
        <w:rPr>
          <w:bCs/>
          <w:snapToGrid w:val="0"/>
          <w:spacing w:val="-3"/>
          <w:sz w:val="20"/>
          <w:szCs w:val="20"/>
          <w:lang w:val="nl-NL"/>
        </w:rPr>
        <w:t xml:space="preserve">Artikel 15quater. </w:t>
      </w:r>
      <w:r w:rsidRPr="00527FFA">
        <w:rPr>
          <w:rFonts w:cs="Arial"/>
          <w:sz w:val="20"/>
          <w:szCs w:val="20"/>
          <w:lang w:val="nl-BE"/>
        </w:rPr>
        <w:t>Begeleidingsgesprek voor goed gebruik van geneesmiddelen - COPD,</w:t>
      </w:r>
      <w:r w:rsidRPr="00527FFA">
        <w:rPr>
          <w:rFonts w:cs="Arial"/>
          <w:b/>
          <w:bCs/>
          <w:sz w:val="20"/>
          <w:szCs w:val="20"/>
          <w:lang w:val="nl-BE"/>
        </w:rPr>
        <w:t xml:space="preserve"> </w:t>
      </w:r>
      <w:r w:rsidRPr="00527FFA">
        <w:rPr>
          <w:bCs/>
          <w:snapToGrid w:val="0"/>
          <w:spacing w:val="-3"/>
          <w:sz w:val="20"/>
          <w:szCs w:val="20"/>
          <w:lang w:val="nl-NL"/>
        </w:rPr>
        <w:t xml:space="preserve"> §2, punt 4 van de Overeenkomst wordt aangevuld met de woorden “ in de </w:t>
      </w:r>
      <w:r w:rsidRPr="00527FFA">
        <w:rPr>
          <w:rFonts w:cs="Arial"/>
          <w:sz w:val="20"/>
          <w:szCs w:val="20"/>
          <w:lang w:val="nl-BE"/>
        </w:rPr>
        <w:t>minimale voorkeurstermijn van drie weken”</w:t>
      </w:r>
      <w:r w:rsidRPr="00527FFA">
        <w:rPr>
          <w:rFonts w:eastAsia="Arial" w:cs="Arial"/>
          <w:snapToGrid w:val="0"/>
          <w:sz w:val="20"/>
          <w:szCs w:val="20"/>
          <w:lang w:val="nl-NL"/>
        </w:rPr>
        <w:t>.</w:t>
      </w:r>
    </w:p>
    <w:p w14:paraId="3A24A3D3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bCs/>
          <w:snapToGrid w:val="0"/>
          <w:spacing w:val="-3"/>
          <w:sz w:val="20"/>
          <w:szCs w:val="20"/>
          <w:lang w:val="nl-NL"/>
        </w:rPr>
      </w:pPr>
    </w:p>
    <w:p w14:paraId="2AADA77A" w14:textId="77777777" w:rsidR="00527FFA" w:rsidRPr="00527FFA" w:rsidRDefault="00527FFA" w:rsidP="00527FFA">
      <w:pPr>
        <w:rPr>
          <w:snapToGrid w:val="0"/>
          <w:spacing w:val="-3"/>
          <w:sz w:val="20"/>
          <w:szCs w:val="20"/>
          <w:lang w:val="nl-NL"/>
        </w:rPr>
      </w:pPr>
    </w:p>
    <w:p w14:paraId="62FEB448" w14:textId="77777777" w:rsidR="00527FFA" w:rsidRPr="00527FFA" w:rsidRDefault="00527FFA" w:rsidP="00527FFA">
      <w:pPr>
        <w:jc w:val="both"/>
        <w:rPr>
          <w:rFonts w:cs="Arial"/>
          <w:sz w:val="20"/>
          <w:szCs w:val="20"/>
          <w:lang w:val="nl-NL"/>
        </w:rPr>
      </w:pPr>
      <w:r w:rsidRPr="00527FFA">
        <w:rPr>
          <w:rFonts w:eastAsia="MS Mincho" w:cs="Arial"/>
          <w:b/>
          <w:sz w:val="20"/>
          <w:szCs w:val="20"/>
          <w:u w:val="single"/>
          <w:lang w:val="nl-NL"/>
        </w:rPr>
        <w:t>Artikel 5. Inwerkingtreding</w:t>
      </w:r>
    </w:p>
    <w:p w14:paraId="60571A80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snapToGrid w:val="0"/>
          <w:spacing w:val="-3"/>
          <w:sz w:val="20"/>
          <w:szCs w:val="20"/>
          <w:lang w:val="nl-BE"/>
        </w:rPr>
      </w:pPr>
    </w:p>
    <w:p w14:paraId="08A0935E" w14:textId="77777777" w:rsidR="00527FFA" w:rsidRPr="006E34CE" w:rsidRDefault="00527FFA" w:rsidP="00527FFA">
      <w:pPr>
        <w:widowControl w:val="0"/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 xml:space="preserve">Deze wijzigingsclausule treedt in werking op </w:t>
      </w:r>
      <w:r w:rsidRPr="006E34CE">
        <w:rPr>
          <w:snapToGrid w:val="0"/>
          <w:spacing w:val="-3"/>
          <w:sz w:val="20"/>
          <w:szCs w:val="20"/>
          <w:lang w:val="nl-BE"/>
        </w:rPr>
        <w:t>1 januari 2025.</w:t>
      </w:r>
    </w:p>
    <w:p w14:paraId="13424216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6FEDFDA9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18293B07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snapToGrid w:val="0"/>
          <w:spacing w:val="-3"/>
          <w:sz w:val="20"/>
          <w:szCs w:val="20"/>
          <w:highlight w:val="red"/>
          <w:lang w:val="nl-BE"/>
        </w:rPr>
      </w:pPr>
    </w:p>
    <w:p w14:paraId="00CA2E20" w14:textId="770D5552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snapToGrid w:val="0"/>
          <w:spacing w:val="-3"/>
          <w:sz w:val="20"/>
          <w:szCs w:val="20"/>
          <w:lang w:val="nl-BE"/>
        </w:rPr>
      </w:pPr>
      <w:r w:rsidRPr="00527FFA">
        <w:rPr>
          <w:snapToGrid w:val="0"/>
          <w:spacing w:val="-3"/>
          <w:sz w:val="20"/>
          <w:szCs w:val="20"/>
          <w:lang w:val="nl-BE"/>
        </w:rPr>
        <w:t xml:space="preserve">Opgemaakt te Brussel, op </w:t>
      </w:r>
      <w:r w:rsidR="006E34CE">
        <w:rPr>
          <w:snapToGrid w:val="0"/>
          <w:spacing w:val="-3"/>
          <w:sz w:val="20"/>
          <w:szCs w:val="20"/>
          <w:lang w:val="nl-BE"/>
        </w:rPr>
        <w:t>29 november 2024.</w:t>
      </w:r>
    </w:p>
    <w:p w14:paraId="6758260A" w14:textId="77777777" w:rsidR="00527FFA" w:rsidRPr="00527FFA" w:rsidRDefault="00527FFA" w:rsidP="00527FFA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snapToGrid w:val="0"/>
          <w:spacing w:val="-3"/>
          <w:sz w:val="20"/>
          <w:szCs w:val="20"/>
          <w:lang w:val="nl-BE"/>
        </w:rPr>
      </w:pPr>
    </w:p>
    <w:tbl>
      <w:tblPr>
        <w:tblW w:w="9026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527FFA" w:rsidRPr="00527FFA" w14:paraId="2B9D6891" w14:textId="77777777" w:rsidTr="0030219A">
        <w:tc>
          <w:tcPr>
            <w:tcW w:w="4513" w:type="dxa"/>
            <w:hideMark/>
          </w:tcPr>
          <w:p w14:paraId="3BB8321D" w14:textId="77777777" w:rsidR="00527FFA" w:rsidRPr="00527FFA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nl-BE" w:eastAsia="en-GB"/>
              </w:rPr>
            </w:pPr>
            <w:r w:rsidRPr="00527FFA">
              <w:rPr>
                <w:snapToGrid w:val="0"/>
                <w:spacing w:val="-3"/>
                <w:sz w:val="20"/>
                <w:szCs w:val="20"/>
                <w:lang w:val="nl-BE" w:eastAsia="en-GB"/>
              </w:rPr>
              <w:t>Voor de verzekeringsinstellingen,</w:t>
            </w:r>
          </w:p>
        </w:tc>
        <w:tc>
          <w:tcPr>
            <w:tcW w:w="4513" w:type="dxa"/>
            <w:hideMark/>
          </w:tcPr>
          <w:p w14:paraId="246757BB" w14:textId="77777777" w:rsidR="00527FFA" w:rsidRPr="00527FFA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nl-BE" w:eastAsia="en-GB"/>
              </w:rPr>
            </w:pPr>
            <w:r w:rsidRPr="00527FFA">
              <w:rPr>
                <w:snapToGrid w:val="0"/>
                <w:spacing w:val="-3"/>
                <w:sz w:val="20"/>
                <w:szCs w:val="20"/>
                <w:lang w:val="nl-BE" w:eastAsia="en-GB"/>
              </w:rPr>
              <w:t>Voor de beroepsorganisaties,</w:t>
            </w:r>
          </w:p>
        </w:tc>
      </w:tr>
      <w:tr w:rsidR="00527FFA" w:rsidRPr="00527FFA" w14:paraId="1E20800D" w14:textId="77777777" w:rsidTr="0030219A">
        <w:tc>
          <w:tcPr>
            <w:tcW w:w="4513" w:type="dxa"/>
          </w:tcPr>
          <w:p w14:paraId="195EC5AF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63D2840B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  <w:tr w:rsidR="00527FFA" w:rsidRPr="00527FFA" w14:paraId="6247BFD4" w14:textId="77777777" w:rsidTr="0030219A">
        <w:tc>
          <w:tcPr>
            <w:tcW w:w="4513" w:type="dxa"/>
          </w:tcPr>
          <w:p w14:paraId="5FDD3555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4453EA13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  <w:tr w:rsidR="00527FFA" w:rsidRPr="00527FFA" w14:paraId="0F809166" w14:textId="77777777" w:rsidTr="0030219A">
        <w:tc>
          <w:tcPr>
            <w:tcW w:w="4513" w:type="dxa"/>
          </w:tcPr>
          <w:p w14:paraId="75971B8D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4108F3DF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  <w:tr w:rsidR="00527FFA" w:rsidRPr="00527FFA" w14:paraId="01AF75DE" w14:textId="77777777" w:rsidTr="0030219A">
        <w:tc>
          <w:tcPr>
            <w:tcW w:w="4513" w:type="dxa"/>
          </w:tcPr>
          <w:p w14:paraId="5256B24C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6302E8F2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  <w:tr w:rsidR="00527FFA" w:rsidRPr="00527FFA" w14:paraId="154372F8" w14:textId="77777777" w:rsidTr="0030219A">
        <w:tc>
          <w:tcPr>
            <w:tcW w:w="4513" w:type="dxa"/>
          </w:tcPr>
          <w:p w14:paraId="434972FB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73CCDCE7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  <w:tr w:rsidR="00527FFA" w:rsidRPr="00527FFA" w14:paraId="31642B55" w14:textId="77777777" w:rsidTr="0030219A">
        <w:tc>
          <w:tcPr>
            <w:tcW w:w="4513" w:type="dxa"/>
          </w:tcPr>
          <w:p w14:paraId="579E610B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  <w:tc>
          <w:tcPr>
            <w:tcW w:w="4513" w:type="dxa"/>
          </w:tcPr>
          <w:p w14:paraId="71FDD1BD" w14:textId="77777777" w:rsidR="00527FFA" w:rsidRPr="0000125E" w:rsidRDefault="00527FFA" w:rsidP="00527FF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snapToGrid w:val="0"/>
                <w:spacing w:val="-3"/>
                <w:sz w:val="20"/>
                <w:szCs w:val="20"/>
                <w:lang w:val="en-GB" w:eastAsia="en-GB"/>
              </w:rPr>
            </w:pPr>
          </w:p>
        </w:tc>
      </w:tr>
    </w:tbl>
    <w:p w14:paraId="6ADF3677" w14:textId="77777777" w:rsidR="00527FFA" w:rsidRPr="0000125E" w:rsidRDefault="00527FFA" w:rsidP="00527FFA">
      <w:pPr>
        <w:rPr>
          <w:rFonts w:ascii="Times New Roman" w:hAnsi="Times New Roman"/>
          <w:sz w:val="20"/>
          <w:szCs w:val="20"/>
          <w:lang w:val="en-GB"/>
        </w:rPr>
      </w:pPr>
    </w:p>
    <w:p w14:paraId="6272A566" w14:textId="77777777" w:rsidR="00F96B65" w:rsidRDefault="00F96B65"/>
    <w:sectPr w:rsidR="00F96B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5C7"/>
    <w:multiLevelType w:val="hybridMultilevel"/>
    <w:tmpl w:val="36E41CA2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56C5A1A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5BA789A">
      <w:start w:val="3"/>
      <w:numFmt w:val="bullet"/>
      <w:lvlText w:val="-"/>
      <w:lvlJc w:val="left"/>
      <w:pPr>
        <w:ind w:left="2880" w:hanging="360"/>
      </w:pPr>
      <w:rPr>
        <w:rFonts w:ascii="Arial" w:eastAsia="Verdana" w:hAnsi="Arial" w:cs="Arial" w:hint="default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3012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FA"/>
    <w:rsid w:val="0000125E"/>
    <w:rsid w:val="00157C7C"/>
    <w:rsid w:val="0030219A"/>
    <w:rsid w:val="003A3FBF"/>
    <w:rsid w:val="00527FFA"/>
    <w:rsid w:val="006E34CE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9DA46"/>
  <w15:chartTrackingRefBased/>
  <w15:docId w15:val="{082107E4-7AAD-4E4B-8234-0106B70A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Haddache (RIZIV-INAMI)</dc:creator>
  <cp:keywords/>
  <dc:description/>
  <cp:lastModifiedBy>Anissa Haddache (RIZIV-INAMI)</cp:lastModifiedBy>
  <cp:revision>3</cp:revision>
  <dcterms:created xsi:type="dcterms:W3CDTF">2025-07-18T14:53:00Z</dcterms:created>
  <dcterms:modified xsi:type="dcterms:W3CDTF">2025-07-18T14:54:00Z</dcterms:modified>
</cp:coreProperties>
</file>