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70" w:rsidRPr="00E64828" w:rsidRDefault="00E64828" w:rsidP="00F71A70">
      <w:pPr>
        <w:pStyle w:val="Titre"/>
        <w:jc w:val="both"/>
        <w:rPr>
          <w:color w:val="auto"/>
          <w:sz w:val="28"/>
          <w:szCs w:val="28"/>
          <w:lang w:val="nl-BE"/>
        </w:rPr>
      </w:pPr>
      <w:r w:rsidRPr="00E64828">
        <w:rPr>
          <w:color w:val="auto"/>
          <w:sz w:val="28"/>
          <w:szCs w:val="28"/>
          <w:lang w:val="nl-BE"/>
        </w:rPr>
        <w:t>Bijlage 3</w:t>
      </w:r>
      <w:r w:rsidR="001F2DF4" w:rsidRPr="00E64828">
        <w:rPr>
          <w:color w:val="auto"/>
          <w:sz w:val="28"/>
          <w:szCs w:val="28"/>
          <w:lang w:val="nl-BE"/>
        </w:rPr>
        <w:t>:</w:t>
      </w:r>
    </w:p>
    <w:p w:rsidR="00D73E03" w:rsidRPr="00E64828" w:rsidRDefault="00E64828" w:rsidP="00F71A70">
      <w:pPr>
        <w:pStyle w:val="Titre"/>
        <w:jc w:val="both"/>
        <w:rPr>
          <w:color w:val="auto"/>
          <w:sz w:val="28"/>
          <w:szCs w:val="28"/>
          <w:lang w:val="nl-BE"/>
        </w:rPr>
      </w:pPr>
      <w:r>
        <w:rPr>
          <w:color w:val="auto"/>
          <w:sz w:val="28"/>
          <w:szCs w:val="28"/>
          <w:lang w:val="nl-BE"/>
        </w:rPr>
        <w:t xml:space="preserve">Vaststelling van het maximumaantal factureerbare verstrekkingen per referentiecentrum en naleving van het totaalbudget </w:t>
      </w:r>
    </w:p>
    <w:p w:rsidR="00D73E03" w:rsidRPr="00E64828" w:rsidRDefault="00E64828" w:rsidP="00F71A70">
      <w:pPr>
        <w:jc w:val="both"/>
        <w:rPr>
          <w:lang w:val="nl-BE"/>
        </w:rPr>
      </w:pPr>
      <w:r>
        <w:rPr>
          <w:lang w:val="nl-BE"/>
        </w:rPr>
        <w:t>Het totale jaarbudget dat voor de financiering van de overeenkomsten met de centra voor hemofilie is uitgetrokk</w:t>
      </w:r>
      <w:r w:rsidR="00DE2FC0">
        <w:rPr>
          <w:lang w:val="nl-BE"/>
        </w:rPr>
        <w:t>en, bedraagt</w:t>
      </w:r>
      <w:r>
        <w:rPr>
          <w:lang w:val="nl-BE"/>
        </w:rPr>
        <w:t xml:space="preserve"> </w:t>
      </w:r>
      <w:r w:rsidR="001F2DF4" w:rsidRPr="00E64828">
        <w:rPr>
          <w:lang w:val="nl-BE"/>
        </w:rPr>
        <w:t xml:space="preserve">1.348.000 </w:t>
      </w:r>
      <w:r>
        <w:rPr>
          <w:lang w:val="nl-BE"/>
        </w:rPr>
        <w:t xml:space="preserve">euro. </w:t>
      </w:r>
      <w:r w:rsidR="00011681">
        <w:rPr>
          <w:lang w:val="nl-BE"/>
        </w:rPr>
        <w:t xml:space="preserve">Binnen </w:t>
      </w:r>
      <w:r>
        <w:rPr>
          <w:lang w:val="nl-BE"/>
        </w:rPr>
        <w:t xml:space="preserve">dat budget </w:t>
      </w:r>
      <w:r w:rsidR="00011681">
        <w:rPr>
          <w:lang w:val="nl-BE"/>
        </w:rPr>
        <w:t xml:space="preserve">is </w:t>
      </w:r>
      <w:r>
        <w:rPr>
          <w:lang w:val="nl-BE"/>
        </w:rPr>
        <w:t xml:space="preserve">een maximumbedrag van 75.000 euro </w:t>
      </w:r>
      <w:r w:rsidR="00011681">
        <w:rPr>
          <w:lang w:val="nl-BE"/>
        </w:rPr>
        <w:t xml:space="preserve">vrijgemaakt </w:t>
      </w:r>
      <w:r>
        <w:rPr>
          <w:lang w:val="nl-BE"/>
        </w:rPr>
        <w:t>voor de financiering van het re</w:t>
      </w:r>
      <w:r w:rsidR="00DE2FC0">
        <w:rPr>
          <w:lang w:val="nl-BE"/>
        </w:rPr>
        <w:t>gister</w:t>
      </w:r>
      <w:r>
        <w:rPr>
          <w:lang w:val="nl-BE"/>
        </w:rPr>
        <w:t xml:space="preserve">. Het beschikbare totaalbudget voor alle centra </w:t>
      </w:r>
      <w:r w:rsidR="00011681">
        <w:rPr>
          <w:lang w:val="nl-BE"/>
        </w:rPr>
        <w:t>bedraagt dus</w:t>
      </w:r>
      <w:r>
        <w:rPr>
          <w:lang w:val="nl-BE"/>
        </w:rPr>
        <w:t xml:space="preserve"> </w:t>
      </w:r>
      <w:r w:rsidR="00D73E03" w:rsidRPr="00E64828">
        <w:rPr>
          <w:lang w:val="nl-BE"/>
        </w:rPr>
        <w:t>1.273.000</w:t>
      </w:r>
      <w:r>
        <w:rPr>
          <w:lang w:val="nl-BE"/>
        </w:rPr>
        <w:t xml:space="preserve"> euro</w:t>
      </w:r>
      <w:r w:rsidR="00D73E03" w:rsidRPr="00E64828">
        <w:rPr>
          <w:lang w:val="nl-BE"/>
        </w:rPr>
        <w:t>.</w:t>
      </w:r>
    </w:p>
    <w:p w:rsidR="00E64828" w:rsidRDefault="00E64828" w:rsidP="00F71A70">
      <w:pPr>
        <w:jc w:val="both"/>
        <w:rPr>
          <w:lang w:val="nl-BE"/>
        </w:rPr>
      </w:pPr>
      <w:r>
        <w:rPr>
          <w:lang w:val="nl-BE"/>
        </w:rPr>
        <w:t xml:space="preserve">Het aantal patiënten dat aan de voorwaarden voldoet om een </w:t>
      </w:r>
      <w:proofErr w:type="spellStart"/>
      <w:r>
        <w:rPr>
          <w:lang w:val="nl-BE"/>
        </w:rPr>
        <w:t>tenlasteneming</w:t>
      </w:r>
      <w:proofErr w:type="spellEnd"/>
      <w:r>
        <w:rPr>
          <w:lang w:val="nl-BE"/>
        </w:rPr>
        <w:t xml:space="preserve"> in het kader van de overeenkomst te genieten (artikel 3)</w:t>
      </w:r>
      <w:r w:rsidR="00DE2FC0">
        <w:rPr>
          <w:lang w:val="nl-BE"/>
        </w:rPr>
        <w:t xml:space="preserve">, werd </w:t>
      </w:r>
      <w:r>
        <w:rPr>
          <w:lang w:val="nl-BE"/>
        </w:rPr>
        <w:t>op basis van de beschikbare epidemiologische gegevens</w:t>
      </w:r>
      <w:r w:rsidR="00DE2FC0" w:rsidRPr="00DE2FC0">
        <w:rPr>
          <w:lang w:val="nl-BE"/>
        </w:rPr>
        <w:t xml:space="preserve"> </w:t>
      </w:r>
      <w:r w:rsidR="00DE2FC0">
        <w:rPr>
          <w:lang w:val="nl-BE"/>
        </w:rPr>
        <w:t>op 650 geraamd</w:t>
      </w:r>
      <w:r>
        <w:rPr>
          <w:lang w:val="nl-BE"/>
        </w:rPr>
        <w:t xml:space="preserve">. </w:t>
      </w:r>
      <w:r w:rsidR="00011681">
        <w:rPr>
          <w:lang w:val="nl-BE"/>
        </w:rPr>
        <w:t xml:space="preserve">Elke </w:t>
      </w:r>
      <w:r w:rsidR="003A2AD5" w:rsidRPr="001202C1">
        <w:rPr>
          <w:lang w:val="nl-BE"/>
        </w:rPr>
        <w:t xml:space="preserve">patiënt </w:t>
      </w:r>
      <w:r w:rsidR="00011681">
        <w:rPr>
          <w:lang w:val="nl-BE"/>
        </w:rPr>
        <w:t>stemt overeen met</w:t>
      </w:r>
      <w:r w:rsidR="00011681" w:rsidRPr="001202C1">
        <w:rPr>
          <w:lang w:val="nl-BE"/>
        </w:rPr>
        <w:t xml:space="preserve"> </w:t>
      </w:r>
      <w:r w:rsidR="00011681">
        <w:rPr>
          <w:lang w:val="nl-BE"/>
        </w:rPr>
        <w:t>één</w:t>
      </w:r>
      <w:r w:rsidR="003A2AD5" w:rsidRPr="001202C1">
        <w:rPr>
          <w:lang w:val="nl-BE"/>
        </w:rPr>
        <w:t xml:space="preserve"> jaarlijkse verstrekking</w:t>
      </w:r>
      <w:r w:rsidRPr="00011681">
        <w:rPr>
          <w:lang w:val="nl-BE"/>
        </w:rPr>
        <w:t>.</w:t>
      </w:r>
      <w:r>
        <w:rPr>
          <w:lang w:val="nl-BE"/>
        </w:rPr>
        <w:t xml:space="preserve"> Het maximumaantal verstrekkingen dat door het nationaal coördinatiecentrum kan wo</w:t>
      </w:r>
      <w:r w:rsidR="00BD7BDC">
        <w:rPr>
          <w:lang w:val="nl-BE"/>
        </w:rPr>
        <w:t>r</w:t>
      </w:r>
      <w:r w:rsidR="00DE2FC0">
        <w:rPr>
          <w:lang w:val="nl-BE"/>
        </w:rPr>
        <w:t>den gefactureerd,</w:t>
      </w:r>
      <w:r>
        <w:rPr>
          <w:lang w:val="nl-BE"/>
        </w:rPr>
        <w:t xml:space="preserve"> wordt door de overeenkomst op </w:t>
      </w:r>
      <w:r w:rsidR="00D73E03" w:rsidRPr="00E64828">
        <w:rPr>
          <w:lang w:val="nl-BE"/>
        </w:rPr>
        <w:t>200</w:t>
      </w:r>
      <w:r>
        <w:rPr>
          <w:lang w:val="nl-BE"/>
        </w:rPr>
        <w:t xml:space="preserve"> vastgesteld. De overige 450 patiënten zouden over de referentiecentra moeten worden </w:t>
      </w:r>
      <w:proofErr w:type="gramStart"/>
      <w:r>
        <w:rPr>
          <w:lang w:val="nl-BE"/>
        </w:rPr>
        <w:t xml:space="preserve">verdeeld. </w:t>
      </w:r>
      <w:r w:rsidR="00DE2FC0">
        <w:rPr>
          <w:lang w:val="nl-BE"/>
        </w:rPr>
        <w:t xml:space="preserve">  </w:t>
      </w:r>
      <w:proofErr w:type="gramEnd"/>
    </w:p>
    <w:p w:rsidR="00263CBF" w:rsidRDefault="00E64828" w:rsidP="00F71A70">
      <w:pPr>
        <w:jc w:val="both"/>
        <w:rPr>
          <w:lang w:val="nl-BE"/>
        </w:rPr>
      </w:pPr>
      <w:r>
        <w:rPr>
          <w:lang w:val="nl-BE"/>
        </w:rPr>
        <w:t>In de overeenkoms</w:t>
      </w:r>
      <w:r w:rsidR="00263CBF">
        <w:rPr>
          <w:lang w:val="nl-BE"/>
        </w:rPr>
        <w:t>t</w:t>
      </w:r>
      <w:r>
        <w:rPr>
          <w:lang w:val="nl-BE"/>
        </w:rPr>
        <w:t xml:space="preserve"> met de referentiecentra wordt ook voorzien in een beperking van het aantal verstrekkingen per centrum (artikel 23). </w:t>
      </w:r>
      <w:r w:rsidR="00DE2FC0">
        <w:rPr>
          <w:lang w:val="nl-BE"/>
        </w:rPr>
        <w:t xml:space="preserve">Na afloop van de selectieprocedure zal voor elk geselecteerd centrum </w:t>
      </w:r>
      <w:r w:rsidR="00BD7BDC">
        <w:rPr>
          <w:lang w:val="nl-BE"/>
        </w:rPr>
        <w:t>het</w:t>
      </w:r>
      <w:r w:rsidR="00263CBF">
        <w:rPr>
          <w:lang w:val="nl-BE"/>
        </w:rPr>
        <w:t xml:space="preserve"> maximumaantal factureerbare jaarlijkse verstrekkingen </w:t>
      </w:r>
      <w:r w:rsidR="00F752DC">
        <w:rPr>
          <w:lang w:val="nl-BE"/>
        </w:rPr>
        <w:t xml:space="preserve">als volgt </w:t>
      </w:r>
      <w:r w:rsidR="00263CBF">
        <w:rPr>
          <w:lang w:val="nl-BE"/>
        </w:rPr>
        <w:t xml:space="preserve">worden bepaald: </w:t>
      </w:r>
    </w:p>
    <w:p w:rsidR="00BB5B52" w:rsidRPr="00E64828" w:rsidRDefault="00F752DC" w:rsidP="00F71A70">
      <w:pPr>
        <w:jc w:val="both"/>
        <w:rPr>
          <w:lang w:val="nl-BE"/>
        </w:rPr>
      </w:pPr>
      <w:r>
        <w:rPr>
          <w:lang w:val="nl-BE"/>
        </w:rPr>
        <w:t xml:space="preserve">Het totale </w:t>
      </w:r>
      <w:r w:rsidR="00263CBF">
        <w:rPr>
          <w:lang w:val="nl-BE"/>
        </w:rPr>
        <w:t>aantal patiënten van de referentiecentra zal worden berek</w:t>
      </w:r>
      <w:r w:rsidR="00AE4E32">
        <w:rPr>
          <w:lang w:val="nl-BE"/>
        </w:rPr>
        <w:t>end op basis van de kandida</w:t>
      </w:r>
      <w:r w:rsidR="00CF1088">
        <w:rPr>
          <w:lang w:val="nl-BE"/>
        </w:rPr>
        <w:t>tuur</w:t>
      </w:r>
      <w:r w:rsidR="00AE4E32">
        <w:rPr>
          <w:lang w:val="nl-BE"/>
        </w:rPr>
        <w:t>dossie</w:t>
      </w:r>
      <w:r>
        <w:rPr>
          <w:lang w:val="nl-BE"/>
        </w:rPr>
        <w:t>rs</w:t>
      </w:r>
      <w:r w:rsidR="00CF1088">
        <w:rPr>
          <w:lang w:val="nl-BE"/>
        </w:rPr>
        <w:t>, meer bepaald</w:t>
      </w:r>
      <w:r>
        <w:rPr>
          <w:lang w:val="nl-BE"/>
        </w:rPr>
        <w:t xml:space="preserve"> door de </w:t>
      </w:r>
      <w:proofErr w:type="spellStart"/>
      <w:r>
        <w:rPr>
          <w:lang w:val="nl-BE"/>
        </w:rPr>
        <w:t>patiëntenaantallen</w:t>
      </w:r>
      <w:proofErr w:type="spellEnd"/>
      <w:r>
        <w:rPr>
          <w:lang w:val="nl-BE"/>
        </w:rPr>
        <w:t xml:space="preserve"> van</w:t>
      </w:r>
      <w:r w:rsidR="00AE4E32">
        <w:rPr>
          <w:lang w:val="nl-BE"/>
        </w:rPr>
        <w:t xml:space="preserve"> 2013 die do</w:t>
      </w:r>
      <w:r>
        <w:rPr>
          <w:lang w:val="nl-BE"/>
        </w:rPr>
        <w:t>or de geselecteerde centra zijn meegedeeld (deel E van het kandida</w:t>
      </w:r>
      <w:r w:rsidR="00CF1088">
        <w:rPr>
          <w:lang w:val="nl-BE"/>
        </w:rPr>
        <w:t>tuur</w:t>
      </w:r>
      <w:r>
        <w:rPr>
          <w:lang w:val="nl-BE"/>
        </w:rPr>
        <w:t>dossier), bij elkaar op te tellen</w:t>
      </w:r>
      <w:r w:rsidR="00AE4E32">
        <w:rPr>
          <w:lang w:val="nl-BE"/>
        </w:rPr>
        <w:t xml:space="preserve">. </w:t>
      </w:r>
    </w:p>
    <w:p w:rsidR="00871B07" w:rsidRPr="00E64828" w:rsidRDefault="00F752DC" w:rsidP="00F71A70">
      <w:pPr>
        <w:pStyle w:val="Paragraphedeliste"/>
        <w:numPr>
          <w:ilvl w:val="0"/>
          <w:numId w:val="5"/>
        </w:numPr>
        <w:jc w:val="both"/>
        <w:rPr>
          <w:lang w:val="nl-BE"/>
        </w:rPr>
      </w:pPr>
      <w:r>
        <w:rPr>
          <w:lang w:val="nl-BE"/>
        </w:rPr>
        <w:t>a</w:t>
      </w:r>
      <w:r w:rsidR="00AE4E32">
        <w:rPr>
          <w:lang w:val="nl-BE"/>
        </w:rPr>
        <w:t xml:space="preserve">ls dat aantal gelijk is aan </w:t>
      </w:r>
      <w:r w:rsidR="00C15B01" w:rsidRPr="00E64828">
        <w:rPr>
          <w:lang w:val="nl-BE"/>
        </w:rPr>
        <w:t xml:space="preserve">450 (± </w:t>
      </w:r>
      <w:r w:rsidR="001F2DF4" w:rsidRPr="00E64828">
        <w:rPr>
          <w:lang w:val="nl-BE"/>
        </w:rPr>
        <w:t>10</w:t>
      </w:r>
      <w:r w:rsidR="00AE4E32">
        <w:rPr>
          <w:lang w:val="nl-BE"/>
        </w:rPr>
        <w:t xml:space="preserve">) zal het maximumaantal factureerbare verstrekkingen dat </w:t>
      </w:r>
      <w:r>
        <w:rPr>
          <w:lang w:val="nl-BE"/>
        </w:rPr>
        <w:t xml:space="preserve">per centrum </w:t>
      </w:r>
      <w:r w:rsidR="00AE4E32">
        <w:rPr>
          <w:lang w:val="nl-BE"/>
        </w:rPr>
        <w:t>in de overeenkomst</w:t>
      </w:r>
      <w:r>
        <w:rPr>
          <w:lang w:val="nl-BE"/>
        </w:rPr>
        <w:t xml:space="preserve"> wordt vermeld</w:t>
      </w:r>
      <w:r w:rsidR="00AE4E32">
        <w:rPr>
          <w:lang w:val="nl-BE"/>
        </w:rPr>
        <w:t xml:space="preserve">, gelijk zijn aan het aantal patiënten </w:t>
      </w:r>
      <w:r w:rsidR="005B465E">
        <w:rPr>
          <w:lang w:val="nl-BE"/>
        </w:rPr>
        <w:t xml:space="preserve">dat het centrum </w:t>
      </w:r>
      <w:proofErr w:type="gramStart"/>
      <w:r w:rsidR="005B465E">
        <w:rPr>
          <w:lang w:val="nl-BE"/>
        </w:rPr>
        <w:t xml:space="preserve">in </w:t>
      </w:r>
      <w:r w:rsidR="00C15B01" w:rsidRPr="00E64828">
        <w:rPr>
          <w:lang w:val="nl-BE"/>
        </w:rPr>
        <w:t xml:space="preserve"> </w:t>
      </w:r>
      <w:proofErr w:type="gramEnd"/>
      <w:r w:rsidR="00C15B01" w:rsidRPr="00E64828">
        <w:rPr>
          <w:lang w:val="nl-BE"/>
        </w:rPr>
        <w:t>2013</w:t>
      </w:r>
      <w:r w:rsidR="005B465E">
        <w:rPr>
          <w:lang w:val="nl-BE"/>
        </w:rPr>
        <w:t xml:space="preserve"> heeft behandeld</w:t>
      </w:r>
      <w:r w:rsidR="003A2AD5">
        <w:rPr>
          <w:lang w:val="nl-BE"/>
        </w:rPr>
        <w:t>;</w:t>
      </w:r>
    </w:p>
    <w:p w:rsidR="005B465E" w:rsidRDefault="003A2AD5" w:rsidP="00F71A70">
      <w:pPr>
        <w:pStyle w:val="Paragraphedeliste"/>
        <w:numPr>
          <w:ilvl w:val="0"/>
          <w:numId w:val="5"/>
        </w:numPr>
        <w:jc w:val="both"/>
        <w:rPr>
          <w:lang w:val="nl-BE"/>
        </w:rPr>
      </w:pPr>
      <w:r>
        <w:rPr>
          <w:lang w:val="nl-BE"/>
        </w:rPr>
        <w:t xml:space="preserve">als dat aantal minder </w:t>
      </w:r>
      <w:r w:rsidR="005B465E">
        <w:rPr>
          <w:lang w:val="nl-BE"/>
        </w:rPr>
        <w:t xml:space="preserve">dan </w:t>
      </w:r>
      <w:r w:rsidR="00FA7E88" w:rsidRPr="00E64828">
        <w:rPr>
          <w:lang w:val="nl-BE"/>
        </w:rPr>
        <w:t>44</w:t>
      </w:r>
      <w:r w:rsidR="001F2DF4" w:rsidRPr="00E64828">
        <w:rPr>
          <w:lang w:val="nl-BE"/>
        </w:rPr>
        <w:t>0</w:t>
      </w:r>
      <w:r>
        <w:rPr>
          <w:lang w:val="nl-BE"/>
        </w:rPr>
        <w:t xml:space="preserve"> bedraagt,</w:t>
      </w:r>
      <w:r w:rsidR="005B465E">
        <w:rPr>
          <w:lang w:val="nl-BE"/>
        </w:rPr>
        <w:t xml:space="preserve"> zal het maximumaantal factur</w:t>
      </w:r>
      <w:r>
        <w:rPr>
          <w:lang w:val="nl-BE"/>
        </w:rPr>
        <w:t xml:space="preserve">eerbare verstrekkingen per </w:t>
      </w:r>
      <w:r w:rsidR="005B465E">
        <w:rPr>
          <w:lang w:val="nl-BE"/>
        </w:rPr>
        <w:t xml:space="preserve">centrum </w:t>
      </w:r>
      <w:r w:rsidR="00BD7BDC">
        <w:rPr>
          <w:lang w:val="nl-BE"/>
        </w:rPr>
        <w:t xml:space="preserve">naar rata van het </w:t>
      </w:r>
      <w:r w:rsidR="001E6050">
        <w:rPr>
          <w:lang w:val="nl-BE"/>
        </w:rPr>
        <w:t>ondercapaciteits</w:t>
      </w:r>
      <w:r w:rsidR="00BD7BDC">
        <w:rPr>
          <w:lang w:val="nl-BE"/>
        </w:rPr>
        <w:t>per</w:t>
      </w:r>
      <w:r w:rsidR="005B465E">
        <w:rPr>
          <w:lang w:val="nl-BE"/>
        </w:rPr>
        <w:t xml:space="preserve">centage </w:t>
      </w:r>
      <w:r w:rsidR="001E6050">
        <w:rPr>
          <w:lang w:val="nl-BE"/>
        </w:rPr>
        <w:t>tot</w:t>
      </w:r>
      <w:r w:rsidR="005B465E">
        <w:rPr>
          <w:lang w:val="nl-BE"/>
        </w:rPr>
        <w:t xml:space="preserve"> het gl</w:t>
      </w:r>
      <w:r>
        <w:rPr>
          <w:lang w:val="nl-BE"/>
        </w:rPr>
        <w:t>obale totaal van 450</w:t>
      </w:r>
      <w:r w:rsidR="001E6050">
        <w:rPr>
          <w:lang w:val="nl-BE"/>
        </w:rPr>
        <w:t xml:space="preserve"> worden vermeerderd</w:t>
      </w:r>
      <w:r>
        <w:rPr>
          <w:lang w:val="nl-BE"/>
        </w:rPr>
        <w:t>;</w:t>
      </w:r>
      <w:r w:rsidR="005B465E">
        <w:rPr>
          <w:lang w:val="nl-BE"/>
        </w:rPr>
        <w:t xml:space="preserve"> </w:t>
      </w:r>
    </w:p>
    <w:p w:rsidR="00FA7E88" w:rsidRPr="005B465E" w:rsidRDefault="003A2AD5" w:rsidP="005B465E">
      <w:pPr>
        <w:pStyle w:val="Paragraphedeliste"/>
        <w:numPr>
          <w:ilvl w:val="0"/>
          <w:numId w:val="5"/>
        </w:numPr>
        <w:jc w:val="both"/>
        <w:rPr>
          <w:lang w:val="nl-BE"/>
        </w:rPr>
      </w:pPr>
      <w:r>
        <w:rPr>
          <w:lang w:val="nl-BE"/>
        </w:rPr>
        <w:t>a</w:t>
      </w:r>
      <w:r w:rsidR="005B465E">
        <w:rPr>
          <w:lang w:val="nl-BE"/>
        </w:rPr>
        <w:t>ls dat aantal meer dan 460 bedraagt, zal het maximumaantal f</w:t>
      </w:r>
      <w:r w:rsidR="001E6050">
        <w:rPr>
          <w:lang w:val="nl-BE"/>
        </w:rPr>
        <w:t>actureerbare verstrekkingen per</w:t>
      </w:r>
      <w:r w:rsidR="005B465E">
        <w:rPr>
          <w:lang w:val="nl-BE"/>
        </w:rPr>
        <w:t xml:space="preserve"> centrum naar rata va</w:t>
      </w:r>
      <w:r w:rsidR="001E6050">
        <w:rPr>
          <w:lang w:val="nl-BE"/>
        </w:rPr>
        <w:t>n het overschrijdingspercentage</w:t>
      </w:r>
      <w:r w:rsidR="005B465E">
        <w:rPr>
          <w:lang w:val="nl-BE"/>
        </w:rPr>
        <w:t xml:space="preserve"> tot het globale totaal van 450</w:t>
      </w:r>
      <w:r w:rsidR="001E6050">
        <w:rPr>
          <w:lang w:val="nl-BE"/>
        </w:rPr>
        <w:t xml:space="preserve"> worden verminderd</w:t>
      </w:r>
      <w:r w:rsidR="005B465E">
        <w:rPr>
          <w:lang w:val="nl-BE"/>
        </w:rPr>
        <w:t>.</w:t>
      </w:r>
    </w:p>
    <w:p w:rsidR="00AB66D7" w:rsidRPr="00E64828" w:rsidRDefault="001C6D3F" w:rsidP="00F71A70">
      <w:pPr>
        <w:jc w:val="both"/>
        <w:rPr>
          <w:lang w:val="nl-BE"/>
        </w:rPr>
      </w:pPr>
      <w:r>
        <w:rPr>
          <w:lang w:val="nl-BE"/>
        </w:rPr>
        <w:t>In die berekeningen</w:t>
      </w:r>
    </w:p>
    <w:p w:rsidR="001C6D3F" w:rsidRDefault="001E6050" w:rsidP="001F2DF4">
      <w:pPr>
        <w:pStyle w:val="Paragraphedeliste"/>
        <w:numPr>
          <w:ilvl w:val="0"/>
          <w:numId w:val="6"/>
        </w:numPr>
        <w:spacing w:before="0" w:beforeAutospacing="0" w:after="0" w:afterAutospacing="0"/>
        <w:jc w:val="both"/>
        <w:rPr>
          <w:lang w:val="nl-BE"/>
        </w:rPr>
      </w:pPr>
      <w:r>
        <w:rPr>
          <w:lang w:val="nl-BE"/>
        </w:rPr>
        <w:t>zu</w:t>
      </w:r>
      <w:r w:rsidR="001C6D3F">
        <w:rPr>
          <w:lang w:val="nl-BE"/>
        </w:rPr>
        <w:t xml:space="preserve">llen de niet-geselecteerde centra niet in aanmerking worden genomen, </w:t>
      </w:r>
    </w:p>
    <w:p w:rsidR="001C6D3F" w:rsidRDefault="001E6050" w:rsidP="001F2DF4">
      <w:pPr>
        <w:pStyle w:val="Paragraphedeliste"/>
        <w:numPr>
          <w:ilvl w:val="0"/>
          <w:numId w:val="6"/>
        </w:numPr>
        <w:spacing w:before="0" w:beforeAutospacing="0" w:after="0" w:afterAutospacing="0"/>
        <w:jc w:val="both"/>
        <w:rPr>
          <w:lang w:val="nl-BE"/>
        </w:rPr>
      </w:pPr>
      <w:r>
        <w:rPr>
          <w:lang w:val="nl-BE"/>
        </w:rPr>
        <w:t>zullen de ni</w:t>
      </w:r>
      <w:r w:rsidR="004C1CD0">
        <w:rPr>
          <w:lang w:val="nl-BE"/>
        </w:rPr>
        <w:t xml:space="preserve">et-afgeronde resultaten die wijzen op </w:t>
      </w:r>
      <w:r>
        <w:rPr>
          <w:lang w:val="nl-BE"/>
        </w:rPr>
        <w:t>een toename of een afname</w:t>
      </w:r>
      <w:r w:rsidR="001C6D3F">
        <w:rPr>
          <w:lang w:val="nl-BE"/>
        </w:rPr>
        <w:t xml:space="preserve"> van het aantal patiënten</w:t>
      </w:r>
      <w:r w:rsidR="004C1CD0">
        <w:rPr>
          <w:lang w:val="nl-BE"/>
        </w:rPr>
        <w:t>,</w:t>
      </w:r>
      <w:r>
        <w:rPr>
          <w:lang w:val="nl-BE"/>
        </w:rPr>
        <w:t xml:space="preserve"> </w:t>
      </w:r>
      <w:r w:rsidR="001C6D3F">
        <w:rPr>
          <w:lang w:val="nl-BE"/>
        </w:rPr>
        <w:t xml:space="preserve">tot </w:t>
      </w:r>
      <w:r w:rsidR="00C148CA">
        <w:rPr>
          <w:lang w:val="nl-BE"/>
        </w:rPr>
        <w:t>op de dichtstbijzijnde gehele waarde worden afgerond;</w:t>
      </w:r>
      <w:r w:rsidR="001C6D3F">
        <w:rPr>
          <w:lang w:val="nl-BE"/>
        </w:rPr>
        <w:t xml:space="preserve"> </w:t>
      </w:r>
    </w:p>
    <w:p w:rsidR="001C6D3F" w:rsidRDefault="004C1CD0" w:rsidP="001C6D3F">
      <w:pPr>
        <w:pStyle w:val="Paragraphedeliste"/>
        <w:numPr>
          <w:ilvl w:val="0"/>
          <w:numId w:val="6"/>
        </w:numPr>
        <w:spacing w:before="0" w:beforeAutospacing="0" w:after="0" w:afterAutospacing="0"/>
        <w:jc w:val="both"/>
        <w:rPr>
          <w:lang w:val="nl-BE"/>
        </w:rPr>
      </w:pPr>
      <w:r>
        <w:rPr>
          <w:lang w:val="nl-BE"/>
        </w:rPr>
        <w:t xml:space="preserve">zal </w:t>
      </w:r>
      <w:r w:rsidR="001E6050">
        <w:rPr>
          <w:lang w:val="nl-BE"/>
        </w:rPr>
        <w:t>h</w:t>
      </w:r>
      <w:r w:rsidR="001C6D3F">
        <w:rPr>
          <w:lang w:val="nl-BE"/>
        </w:rPr>
        <w:t>et aantal verstrekkingen</w:t>
      </w:r>
      <w:r>
        <w:rPr>
          <w:lang w:val="nl-BE"/>
        </w:rPr>
        <w:t xml:space="preserve"> dat door een geselecteerd</w:t>
      </w:r>
      <w:r w:rsidR="001C6D3F">
        <w:rPr>
          <w:lang w:val="nl-BE"/>
        </w:rPr>
        <w:t xml:space="preserve"> centrum </w:t>
      </w:r>
      <w:r>
        <w:rPr>
          <w:lang w:val="nl-BE"/>
        </w:rPr>
        <w:t>kan worden gefactureerd,</w:t>
      </w:r>
      <w:r w:rsidR="001C6D3F">
        <w:rPr>
          <w:lang w:val="nl-BE"/>
        </w:rPr>
        <w:t xml:space="preserve"> nooit worden teruggebracht tot een waarde </w:t>
      </w:r>
      <w:r w:rsidR="00C148CA">
        <w:rPr>
          <w:lang w:val="nl-BE"/>
        </w:rPr>
        <w:t>die minder</w:t>
      </w:r>
      <w:r>
        <w:rPr>
          <w:lang w:val="nl-BE"/>
        </w:rPr>
        <w:t xml:space="preserve"> </w:t>
      </w:r>
      <w:r w:rsidR="001C6D3F">
        <w:rPr>
          <w:lang w:val="nl-BE"/>
        </w:rPr>
        <w:t>dan 50</w:t>
      </w:r>
      <w:r w:rsidR="00C148CA">
        <w:rPr>
          <w:lang w:val="nl-BE"/>
        </w:rPr>
        <w:t xml:space="preserve"> </w:t>
      </w:r>
      <w:proofErr w:type="gramStart"/>
      <w:r w:rsidR="00C148CA">
        <w:rPr>
          <w:lang w:val="nl-BE"/>
        </w:rPr>
        <w:t>bedraagt</w:t>
      </w:r>
      <w:r w:rsidR="001C6D3F">
        <w:rPr>
          <w:lang w:val="nl-BE"/>
        </w:rPr>
        <w:t xml:space="preserve">. </w:t>
      </w:r>
      <w:r w:rsidR="00475150" w:rsidRPr="00E64828">
        <w:rPr>
          <w:lang w:val="nl-BE"/>
        </w:rPr>
        <w:t xml:space="preserve"> </w:t>
      </w:r>
      <w:proofErr w:type="gramEnd"/>
    </w:p>
    <w:p w:rsidR="00787077" w:rsidRDefault="00787077" w:rsidP="001202C1">
      <w:pPr>
        <w:spacing w:before="0" w:beforeAutospacing="0" w:after="0" w:afterAutospacing="0"/>
        <w:jc w:val="both"/>
        <w:rPr>
          <w:lang w:val="nl-BE"/>
        </w:rPr>
      </w:pPr>
    </w:p>
    <w:p w:rsidR="00EB56ED" w:rsidRDefault="001C6D3F" w:rsidP="001202C1">
      <w:pPr>
        <w:spacing w:before="0" w:beforeAutospacing="0" w:after="0" w:afterAutospacing="0"/>
        <w:jc w:val="both"/>
        <w:rPr>
          <w:lang w:val="nl-BE"/>
        </w:rPr>
      </w:pPr>
      <w:r>
        <w:rPr>
          <w:lang w:val="nl-BE"/>
        </w:rPr>
        <w:t xml:space="preserve">Na toepassing van die procedure </w:t>
      </w:r>
      <w:r w:rsidR="00C148CA">
        <w:rPr>
          <w:lang w:val="nl-BE"/>
        </w:rPr>
        <w:t xml:space="preserve">is het in theorie nog altijd mogelijk </w:t>
      </w:r>
      <w:r>
        <w:rPr>
          <w:lang w:val="nl-BE"/>
        </w:rPr>
        <w:t xml:space="preserve">dat het aantal patiënten </w:t>
      </w:r>
      <w:r w:rsidR="00C148CA">
        <w:rPr>
          <w:lang w:val="nl-BE"/>
        </w:rPr>
        <w:t>meer dan 6</w:t>
      </w:r>
      <w:r w:rsidR="00787077">
        <w:rPr>
          <w:lang w:val="nl-BE"/>
        </w:rPr>
        <w:t>5</w:t>
      </w:r>
      <w:r w:rsidR="00C148CA">
        <w:rPr>
          <w:lang w:val="nl-BE"/>
        </w:rPr>
        <w:t>0 bedraagt</w:t>
      </w:r>
      <w:r>
        <w:rPr>
          <w:lang w:val="nl-BE"/>
        </w:rPr>
        <w:t>. Voorbeeld: 200 patiënten in het nationaal coördinatiecentrum en 50 patiënten in 10 referentiecentra. De</w:t>
      </w:r>
      <w:r w:rsidR="00C148CA">
        <w:rPr>
          <w:lang w:val="nl-BE"/>
        </w:rPr>
        <w:t xml:space="preserve"> prijs van de verstrekkingen </w:t>
      </w:r>
      <w:r w:rsidR="00787077">
        <w:rPr>
          <w:lang w:val="nl-BE"/>
        </w:rPr>
        <w:t>van</w:t>
      </w:r>
      <w:r>
        <w:rPr>
          <w:lang w:val="nl-BE"/>
        </w:rPr>
        <w:t xml:space="preserve"> het nat</w:t>
      </w:r>
      <w:r w:rsidR="00C148CA">
        <w:rPr>
          <w:lang w:val="nl-BE"/>
        </w:rPr>
        <w:t>ionaal coördinatiecentrum en</w:t>
      </w:r>
      <w:r>
        <w:rPr>
          <w:lang w:val="nl-BE"/>
        </w:rPr>
        <w:t xml:space="preserve"> </w:t>
      </w:r>
      <w:r w:rsidR="00787077">
        <w:rPr>
          <w:lang w:val="nl-BE"/>
        </w:rPr>
        <w:t xml:space="preserve">van </w:t>
      </w:r>
      <w:r>
        <w:rPr>
          <w:lang w:val="nl-BE"/>
        </w:rPr>
        <w:t>de referen</w:t>
      </w:r>
      <w:r w:rsidR="00C148CA">
        <w:rPr>
          <w:lang w:val="nl-BE"/>
        </w:rPr>
        <w:t>tiecentra zal bijgevolg worden verlaagd</w:t>
      </w:r>
      <w:r w:rsidR="00A6475C">
        <w:rPr>
          <w:lang w:val="nl-BE"/>
        </w:rPr>
        <w:t xml:space="preserve">. Het percentage van die prijsverlaging </w:t>
      </w:r>
      <w:r>
        <w:rPr>
          <w:lang w:val="nl-BE"/>
        </w:rPr>
        <w:t>zal als volgt worden berekend</w:t>
      </w:r>
      <w:r w:rsidR="00EB56ED" w:rsidRPr="001C6D3F">
        <w:rPr>
          <w:lang w:val="nl-BE"/>
        </w:rPr>
        <w:t>:</w:t>
      </w:r>
    </w:p>
    <w:p w:rsidR="00787077" w:rsidRPr="001C6D3F" w:rsidRDefault="00787077" w:rsidP="001C6D3F">
      <w:pPr>
        <w:spacing w:before="0" w:beforeAutospacing="0" w:after="0" w:afterAutospacing="0"/>
        <w:ind w:left="360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proofErr w:type="spellStart"/>
      <w:r w:rsidRPr="00E64828">
        <w:rPr>
          <w:lang w:val="nl-BE"/>
        </w:rPr>
        <w:t>B</w:t>
      </w:r>
      <w:r w:rsidR="00A6475C">
        <w:rPr>
          <w:vertAlign w:val="subscript"/>
          <w:lang w:val="nl-BE"/>
        </w:rPr>
        <w:t>b</w:t>
      </w:r>
      <w:proofErr w:type="spellEnd"/>
      <w:r w:rsidRPr="00E64828">
        <w:rPr>
          <w:lang w:val="nl-BE"/>
        </w:rPr>
        <w:t xml:space="preserve"> = </w:t>
      </w:r>
      <w:proofErr w:type="spellStart"/>
      <w:r w:rsidRPr="00E64828">
        <w:rPr>
          <w:lang w:val="nl-BE"/>
        </w:rPr>
        <w:t>B</w:t>
      </w:r>
      <w:r w:rsidRPr="00E64828">
        <w:rPr>
          <w:vertAlign w:val="subscript"/>
          <w:lang w:val="nl-BE"/>
        </w:rPr>
        <w:t>t</w:t>
      </w:r>
      <w:proofErr w:type="spellEnd"/>
      <w:r w:rsidRPr="00E64828">
        <w:rPr>
          <w:lang w:val="nl-BE"/>
        </w:rPr>
        <w:t xml:space="preserve"> – R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</w:t>
      </w:r>
      <w:proofErr w:type="spellStart"/>
      <w:r w:rsidRPr="00E64828">
        <w:rPr>
          <w:lang w:val="nl-BE"/>
        </w:rPr>
        <w:t>B</w:t>
      </w:r>
      <w:r w:rsidR="00A6475C">
        <w:rPr>
          <w:vertAlign w:val="subscript"/>
          <w:lang w:val="nl-BE"/>
        </w:rPr>
        <w:t>b</w:t>
      </w:r>
      <w:proofErr w:type="spellEnd"/>
      <w:r w:rsidRPr="00E64828">
        <w:rPr>
          <w:lang w:val="nl-BE"/>
        </w:rPr>
        <w:t xml:space="preserve"> = </w:t>
      </w:r>
      <w:r w:rsidR="00D062BC">
        <w:rPr>
          <w:lang w:val="nl-BE"/>
        </w:rPr>
        <w:t>beschikbaar budget</w:t>
      </w:r>
      <w:r w:rsidRPr="00E64828">
        <w:rPr>
          <w:lang w:val="nl-BE"/>
        </w:rPr>
        <w:t xml:space="preserve">, </w:t>
      </w:r>
      <w:proofErr w:type="spellStart"/>
      <w:r w:rsidRPr="00E64828">
        <w:rPr>
          <w:lang w:val="nl-BE"/>
        </w:rPr>
        <w:t>B</w:t>
      </w:r>
      <w:r w:rsidRPr="00E64828">
        <w:rPr>
          <w:vertAlign w:val="subscript"/>
          <w:lang w:val="nl-BE"/>
        </w:rPr>
        <w:t>t</w:t>
      </w:r>
      <w:proofErr w:type="spellEnd"/>
      <w:r w:rsidRPr="00E64828">
        <w:rPr>
          <w:lang w:val="nl-BE"/>
        </w:rPr>
        <w:t xml:space="preserve"> = </w:t>
      </w:r>
      <w:r w:rsidR="00D062BC">
        <w:rPr>
          <w:lang w:val="nl-BE"/>
        </w:rPr>
        <w:t>totaalbudget, R = kosten van het register)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lastRenderedPageBreak/>
        <w:t>C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= P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>N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en</w:t>
      </w:r>
      <w:r w:rsidRPr="00E64828">
        <w:rPr>
          <w:lang w:val="nl-BE"/>
        </w:rPr>
        <w:t xml:space="preserve"> C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= P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>N</w:t>
      </w:r>
      <w:r w:rsidRPr="00E64828">
        <w:rPr>
          <w:vertAlign w:val="subscript"/>
          <w:lang w:val="nl-BE"/>
        </w:rPr>
        <w:t>2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(C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= kosten van het nationaal coördinatiecentrum </w:t>
      </w:r>
      <w:proofErr w:type="gramStart"/>
      <w:r w:rsidR="00D062BC">
        <w:rPr>
          <w:lang w:val="nl-BE"/>
        </w:rPr>
        <w:t>(</w:t>
      </w:r>
      <w:proofErr w:type="gramEnd"/>
      <w:r w:rsidRPr="00E64828">
        <w:rPr>
          <w:lang w:val="nl-BE"/>
        </w:rPr>
        <w:t>N</w:t>
      </w:r>
      <w:r w:rsidR="00D062BC">
        <w:rPr>
          <w:lang w:val="nl-BE"/>
        </w:rPr>
        <w:t>CC)</w:t>
      </w:r>
      <w:r w:rsidRPr="00E64828">
        <w:rPr>
          <w:lang w:val="nl-BE"/>
        </w:rPr>
        <w:t>;</w:t>
      </w:r>
      <w:r w:rsidR="00787077">
        <w:rPr>
          <w:lang w:val="nl-BE"/>
        </w:rPr>
        <w:t xml:space="preserve"> </w:t>
      </w:r>
      <w:r w:rsidRPr="00E64828">
        <w:rPr>
          <w:lang w:val="nl-BE"/>
        </w:rPr>
        <w:t>P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= prijs van de verstrekking van het NCC</w:t>
      </w:r>
      <w:r w:rsidRPr="00E64828">
        <w:rPr>
          <w:lang w:val="nl-BE"/>
        </w:rPr>
        <w:t>; N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= aantal patiënten van het NCC</w:t>
      </w:r>
      <w:r w:rsidRPr="00E64828">
        <w:rPr>
          <w:lang w:val="nl-BE"/>
        </w:rPr>
        <w:t>; C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= </w:t>
      </w:r>
      <w:r w:rsidR="00D062BC">
        <w:rPr>
          <w:lang w:val="nl-BE"/>
        </w:rPr>
        <w:t>totale kosten van de referentiecentra (RC</w:t>
      </w:r>
      <w:r w:rsidRPr="00E64828">
        <w:rPr>
          <w:lang w:val="nl-BE"/>
        </w:rPr>
        <w:t>); P</w:t>
      </w:r>
      <w:r w:rsidRPr="00E64828">
        <w:rPr>
          <w:vertAlign w:val="subscript"/>
          <w:lang w:val="nl-BE"/>
        </w:rPr>
        <w:t>2</w:t>
      </w:r>
      <w:r w:rsidR="00D062BC">
        <w:rPr>
          <w:lang w:val="nl-BE"/>
        </w:rPr>
        <w:t xml:space="preserve"> = prijs van de verstrekking van de </w:t>
      </w:r>
      <w:r w:rsidR="00787077">
        <w:rPr>
          <w:lang w:val="nl-BE"/>
        </w:rPr>
        <w:t>RC</w:t>
      </w:r>
      <w:r w:rsidRPr="00E64828">
        <w:rPr>
          <w:lang w:val="nl-BE"/>
        </w:rPr>
        <w:t>; N</w:t>
      </w:r>
      <w:r w:rsidRPr="00E64828">
        <w:rPr>
          <w:vertAlign w:val="subscript"/>
          <w:lang w:val="nl-BE"/>
        </w:rPr>
        <w:t>2</w:t>
      </w:r>
      <w:r w:rsidR="00D062BC">
        <w:rPr>
          <w:lang w:val="nl-BE"/>
        </w:rPr>
        <w:t xml:space="preserve"> = s</w:t>
      </w:r>
      <w:r w:rsidR="00A6475C">
        <w:rPr>
          <w:lang w:val="nl-BE"/>
        </w:rPr>
        <w:t xml:space="preserve">om van </w:t>
      </w:r>
      <w:r w:rsidR="00D062BC">
        <w:rPr>
          <w:lang w:val="nl-BE"/>
        </w:rPr>
        <w:t xml:space="preserve">de </w:t>
      </w:r>
      <w:proofErr w:type="spellStart"/>
      <w:r w:rsidR="00D062BC">
        <w:rPr>
          <w:lang w:val="nl-BE"/>
        </w:rPr>
        <w:t>patiëntenaantallen</w:t>
      </w:r>
      <w:proofErr w:type="spellEnd"/>
      <w:r w:rsidR="00D062BC">
        <w:rPr>
          <w:lang w:val="nl-BE"/>
        </w:rPr>
        <w:t xml:space="preserve"> van de </w:t>
      </w:r>
      <w:r w:rsidR="00787077">
        <w:rPr>
          <w:lang w:val="nl-BE"/>
        </w:rPr>
        <w:t>RC</w:t>
      </w:r>
      <w:r w:rsidRPr="00E64828">
        <w:rPr>
          <w:lang w:val="nl-BE"/>
        </w:rPr>
        <w:t>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proofErr w:type="spellStart"/>
      <w:r w:rsidRPr="00E64828">
        <w:rPr>
          <w:lang w:val="nl-BE"/>
        </w:rPr>
        <w:t>C</w:t>
      </w:r>
      <w:r w:rsidRPr="00E64828">
        <w:rPr>
          <w:vertAlign w:val="subscript"/>
          <w:lang w:val="nl-BE"/>
        </w:rPr>
        <w:t>t</w:t>
      </w:r>
      <w:proofErr w:type="spellEnd"/>
      <w:r w:rsidRPr="00E64828">
        <w:rPr>
          <w:lang w:val="nl-BE"/>
        </w:rPr>
        <w:t xml:space="preserve"> = C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+ C</w:t>
      </w:r>
      <w:r w:rsidRPr="00E64828">
        <w:rPr>
          <w:vertAlign w:val="subscript"/>
          <w:lang w:val="nl-BE"/>
        </w:rPr>
        <w:t>2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</w:t>
      </w:r>
      <w:proofErr w:type="spellStart"/>
      <w:r w:rsidRPr="00E64828">
        <w:rPr>
          <w:lang w:val="nl-BE"/>
        </w:rPr>
        <w:t>C</w:t>
      </w:r>
      <w:r w:rsidRPr="00E64828">
        <w:rPr>
          <w:vertAlign w:val="subscript"/>
          <w:lang w:val="nl-BE"/>
        </w:rPr>
        <w:t>t</w:t>
      </w:r>
      <w:proofErr w:type="spellEnd"/>
      <w:r w:rsidR="00D062BC">
        <w:rPr>
          <w:lang w:val="nl-BE"/>
        </w:rPr>
        <w:t xml:space="preserve"> = </w:t>
      </w:r>
      <w:r w:rsidRPr="00E64828">
        <w:rPr>
          <w:lang w:val="nl-BE"/>
        </w:rPr>
        <w:t>total</w:t>
      </w:r>
      <w:r w:rsidR="00D062BC">
        <w:rPr>
          <w:lang w:val="nl-BE"/>
        </w:rPr>
        <w:t>e kosten</w:t>
      </w:r>
      <w:r w:rsidRPr="00E64828">
        <w:rPr>
          <w:lang w:val="nl-BE"/>
        </w:rPr>
        <w:t>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proofErr w:type="spellStart"/>
      <w:r w:rsidRPr="00E64828">
        <w:rPr>
          <w:lang w:val="nl-BE"/>
        </w:rPr>
        <w:t>D</w:t>
      </w:r>
      <w:r w:rsidRPr="00E64828">
        <w:rPr>
          <w:vertAlign w:val="subscript"/>
          <w:lang w:val="nl-BE"/>
        </w:rPr>
        <w:t>t</w:t>
      </w:r>
      <w:proofErr w:type="spellEnd"/>
      <w:r w:rsidRPr="00E64828">
        <w:rPr>
          <w:lang w:val="nl-BE"/>
        </w:rPr>
        <w:t xml:space="preserve"> = </w:t>
      </w:r>
      <w:proofErr w:type="spellStart"/>
      <w:r w:rsidRPr="00E64828">
        <w:rPr>
          <w:lang w:val="nl-BE"/>
        </w:rPr>
        <w:t>C</w:t>
      </w:r>
      <w:r w:rsidRPr="00E64828">
        <w:rPr>
          <w:vertAlign w:val="subscript"/>
          <w:lang w:val="nl-BE"/>
        </w:rPr>
        <w:t>t</w:t>
      </w:r>
      <w:proofErr w:type="spellEnd"/>
      <w:r w:rsidRPr="00E64828">
        <w:rPr>
          <w:lang w:val="nl-BE"/>
        </w:rPr>
        <w:t xml:space="preserve"> </w:t>
      </w:r>
      <w:r w:rsidR="00A6475C">
        <w:rPr>
          <w:lang w:val="nl-BE"/>
        </w:rPr>
        <w:t>–</w:t>
      </w:r>
      <w:r w:rsidRPr="00E64828">
        <w:rPr>
          <w:lang w:val="nl-BE"/>
        </w:rPr>
        <w:t xml:space="preserve"> </w:t>
      </w:r>
      <w:proofErr w:type="spellStart"/>
      <w:r w:rsidRPr="00E64828">
        <w:rPr>
          <w:lang w:val="nl-BE"/>
        </w:rPr>
        <w:t>B</w:t>
      </w:r>
      <w:r w:rsidR="00A6475C">
        <w:rPr>
          <w:vertAlign w:val="subscript"/>
          <w:lang w:val="nl-BE"/>
        </w:rPr>
        <w:t>b</w:t>
      </w:r>
      <w:proofErr w:type="spellEnd"/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</w:t>
      </w:r>
      <w:proofErr w:type="spellStart"/>
      <w:r w:rsidRPr="00E64828">
        <w:rPr>
          <w:lang w:val="nl-BE"/>
        </w:rPr>
        <w:t>D</w:t>
      </w:r>
      <w:r w:rsidRPr="00E64828">
        <w:rPr>
          <w:vertAlign w:val="subscript"/>
          <w:lang w:val="nl-BE"/>
        </w:rPr>
        <w:t>t</w:t>
      </w:r>
      <w:proofErr w:type="spellEnd"/>
      <w:r w:rsidRPr="00E64828">
        <w:rPr>
          <w:lang w:val="nl-BE"/>
        </w:rPr>
        <w:t xml:space="preserve"> = </w:t>
      </w:r>
      <w:r w:rsidR="00A6475C">
        <w:rPr>
          <w:lang w:val="nl-BE"/>
        </w:rPr>
        <w:t>totaal</w:t>
      </w:r>
      <w:r w:rsidR="00D062BC">
        <w:rPr>
          <w:lang w:val="nl-BE"/>
        </w:rPr>
        <w:t xml:space="preserve">verschil tussen de kosten en het beschikbaar budget) 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1202C1" w:rsidRDefault="00EB56ED" w:rsidP="00EB56ED">
      <w:pPr>
        <w:spacing w:before="0" w:beforeAutospacing="0" w:after="0" w:afterAutospacing="0"/>
        <w:ind w:left="426"/>
        <w:jc w:val="both"/>
        <w:rPr>
          <w:lang w:val="fr-BE"/>
        </w:rPr>
      </w:pPr>
      <w:r w:rsidRPr="001202C1">
        <w:rPr>
          <w:lang w:val="fr-BE"/>
        </w:rPr>
        <w:t>PC</w:t>
      </w:r>
      <w:r w:rsidRPr="001202C1">
        <w:rPr>
          <w:vertAlign w:val="subscript"/>
          <w:lang w:val="fr-BE"/>
        </w:rPr>
        <w:t>1</w:t>
      </w:r>
      <w:r w:rsidRPr="001202C1">
        <w:rPr>
          <w:lang w:val="fr-BE"/>
        </w:rPr>
        <w:t xml:space="preserve"> = C</w:t>
      </w:r>
      <w:r w:rsidR="00635B9A">
        <w:rPr>
          <w:vertAlign w:val="subscript"/>
          <w:lang w:val="fr-BE"/>
        </w:rPr>
        <w:t>1</w:t>
      </w:r>
      <w:r w:rsidRPr="001202C1">
        <w:rPr>
          <w:lang w:val="fr-BE"/>
        </w:rPr>
        <w:t xml:space="preserve"> / C</w:t>
      </w:r>
      <w:r w:rsidR="00635B9A">
        <w:rPr>
          <w:vertAlign w:val="subscript"/>
          <w:lang w:val="fr-BE"/>
        </w:rPr>
        <w:t>t</w:t>
      </w:r>
      <w:r w:rsidR="00D062BC" w:rsidRPr="001202C1">
        <w:rPr>
          <w:lang w:val="fr-BE"/>
        </w:rPr>
        <w:t xml:space="preserve"> en</w:t>
      </w:r>
      <w:r w:rsidRPr="001202C1">
        <w:rPr>
          <w:lang w:val="fr-BE"/>
        </w:rPr>
        <w:t xml:space="preserve"> PC</w:t>
      </w:r>
      <w:r w:rsidRPr="001202C1">
        <w:rPr>
          <w:vertAlign w:val="subscript"/>
          <w:lang w:val="fr-BE"/>
        </w:rPr>
        <w:t>2</w:t>
      </w:r>
      <w:r w:rsidRPr="001202C1">
        <w:rPr>
          <w:lang w:val="fr-BE"/>
        </w:rPr>
        <w:t xml:space="preserve"> = C</w:t>
      </w:r>
      <w:r w:rsidR="00635B9A">
        <w:rPr>
          <w:vertAlign w:val="subscript"/>
          <w:lang w:val="fr-BE"/>
        </w:rPr>
        <w:t>2</w:t>
      </w:r>
      <w:r w:rsidRPr="001202C1">
        <w:rPr>
          <w:lang w:val="fr-BE"/>
        </w:rPr>
        <w:t xml:space="preserve"> / C</w:t>
      </w:r>
      <w:r w:rsidR="00635B9A">
        <w:rPr>
          <w:vertAlign w:val="subscript"/>
          <w:lang w:val="fr-BE"/>
        </w:rPr>
        <w:t>t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(PC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= </w:t>
      </w:r>
      <w:r w:rsidR="00D062BC">
        <w:rPr>
          <w:lang w:val="nl-BE"/>
        </w:rPr>
        <w:t>aandeel van de kosten van het NCC in de totale kosten</w:t>
      </w:r>
      <w:r w:rsidRPr="00E64828">
        <w:rPr>
          <w:lang w:val="nl-BE"/>
        </w:rPr>
        <w:t>; PC</w:t>
      </w:r>
      <w:r w:rsidRPr="00E64828">
        <w:rPr>
          <w:vertAlign w:val="subscript"/>
          <w:lang w:val="nl-BE"/>
        </w:rPr>
        <w:t>2</w:t>
      </w:r>
      <w:r w:rsidR="00D062BC">
        <w:rPr>
          <w:lang w:val="nl-BE"/>
        </w:rPr>
        <w:t xml:space="preserve"> = </w:t>
      </w:r>
      <w:r w:rsidR="00A6475C">
        <w:rPr>
          <w:lang w:val="nl-BE"/>
        </w:rPr>
        <w:t>aandeel van de kosten van de RC</w:t>
      </w:r>
      <w:r w:rsidR="00D062BC">
        <w:rPr>
          <w:lang w:val="nl-BE"/>
        </w:rPr>
        <w:t xml:space="preserve"> in de totale kosten</w:t>
      </w:r>
      <w:r w:rsidRPr="00E64828">
        <w:rPr>
          <w:lang w:val="nl-BE"/>
        </w:rPr>
        <w:t>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D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= D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>PC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en</w:t>
      </w:r>
      <w:r w:rsidRPr="00E64828">
        <w:rPr>
          <w:lang w:val="nl-BE"/>
        </w:rPr>
        <w:t xml:space="preserve"> D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= D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>PC</w:t>
      </w:r>
      <w:r w:rsidRPr="00E64828">
        <w:rPr>
          <w:vertAlign w:val="subscript"/>
          <w:lang w:val="nl-BE"/>
        </w:rPr>
        <w:t>2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(D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= aandeel van het verschil dat aan het NCC is verschuldigd</w:t>
      </w:r>
      <w:r w:rsidRPr="00E64828">
        <w:rPr>
          <w:lang w:val="nl-BE"/>
        </w:rPr>
        <w:t>; D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= </w:t>
      </w:r>
      <w:r w:rsidR="00D062BC">
        <w:rPr>
          <w:lang w:val="nl-BE"/>
        </w:rPr>
        <w:t xml:space="preserve">aandeel van het verschil dat aan </w:t>
      </w:r>
      <w:r w:rsidR="00A6475C">
        <w:rPr>
          <w:lang w:val="nl-BE"/>
        </w:rPr>
        <w:t xml:space="preserve">de </w:t>
      </w:r>
      <w:r w:rsidR="00D062BC">
        <w:rPr>
          <w:lang w:val="nl-BE"/>
        </w:rPr>
        <w:t>RC is verschuldigd</w:t>
      </w:r>
      <w:r w:rsidRPr="00E64828">
        <w:rPr>
          <w:lang w:val="nl-BE"/>
        </w:rPr>
        <w:t>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PR = D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/ C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= D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/ C</w:t>
      </w:r>
      <w:r w:rsidRPr="00E64828">
        <w:rPr>
          <w:vertAlign w:val="subscript"/>
          <w:lang w:val="nl-BE"/>
        </w:rPr>
        <w:t>2</w:t>
      </w:r>
    </w:p>
    <w:p w:rsidR="00EB56ED" w:rsidRPr="00E64828" w:rsidRDefault="00A6475C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>
        <w:rPr>
          <w:lang w:val="nl-BE"/>
        </w:rPr>
        <w:t xml:space="preserve">(PR = percentage van de prijsverlaging </w:t>
      </w:r>
      <w:r w:rsidR="00D062BC">
        <w:rPr>
          <w:lang w:val="nl-BE"/>
        </w:rPr>
        <w:t>van de verstrekkingen</w:t>
      </w:r>
      <w:r w:rsidR="00EB56ED" w:rsidRPr="00E64828">
        <w:rPr>
          <w:lang w:val="nl-BE"/>
        </w:rPr>
        <w:t>)</w:t>
      </w:r>
    </w:p>
    <w:p w:rsidR="00EB56ED" w:rsidRPr="00E64828" w:rsidRDefault="00EB56ED" w:rsidP="00EB56ED">
      <w:pPr>
        <w:jc w:val="both"/>
        <w:rPr>
          <w:lang w:val="nl-BE"/>
        </w:rPr>
      </w:pPr>
    </w:p>
    <w:sectPr w:rsidR="00EB56ED" w:rsidRPr="00E64828" w:rsidSect="00F71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D9" w:rsidRDefault="00B86BD9" w:rsidP="007229CB">
      <w:pPr>
        <w:spacing w:before="0" w:after="0"/>
      </w:pPr>
      <w:r>
        <w:separator/>
      </w:r>
    </w:p>
  </w:endnote>
  <w:endnote w:type="continuationSeparator" w:id="0">
    <w:p w:rsidR="00B86BD9" w:rsidRDefault="00B86BD9" w:rsidP="007229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80" w:rsidRDefault="005E64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88" w:rsidRPr="005E6480" w:rsidRDefault="005E6480" w:rsidP="005E6480">
    <w:pPr>
      <w:pStyle w:val="Pieddepage"/>
      <w:tabs>
        <w:tab w:val="clear" w:pos="4513"/>
        <w:tab w:val="clear" w:pos="9026"/>
        <w:tab w:val="right" w:pos="9781"/>
      </w:tabs>
    </w:pPr>
    <w:r w:rsidRPr="005E6480">
      <w:rPr>
        <w:sz w:val="16"/>
        <w:szCs w:val="16"/>
      </w:rPr>
      <w:fldChar w:fldCharType="begin"/>
    </w:r>
    <w:r w:rsidRPr="005E6480">
      <w:rPr>
        <w:sz w:val="16"/>
        <w:szCs w:val="16"/>
      </w:rPr>
      <w:instrText xml:space="preserve"> FILENAME   \* MERGEFORMAT </w:instrText>
    </w:r>
    <w:r w:rsidRPr="005E6480">
      <w:rPr>
        <w:sz w:val="16"/>
        <w:szCs w:val="16"/>
      </w:rPr>
      <w:fldChar w:fldCharType="separate"/>
    </w:r>
    <w:r w:rsidRPr="005E6480">
      <w:rPr>
        <w:noProof/>
        <w:sz w:val="16"/>
        <w:szCs w:val="16"/>
      </w:rPr>
      <w:t>CCN_Protocole_Annexe-3-Capacités_vCSS0704_NL.docx</w:t>
    </w:r>
    <w:r w:rsidRPr="005E6480">
      <w:rPr>
        <w:sz w:val="16"/>
        <w:szCs w:val="16"/>
      </w:rPr>
      <w:fldChar w:fldCharType="end"/>
    </w:r>
    <w:r>
      <w:rPr>
        <w:sz w:val="16"/>
        <w:szCs w:val="16"/>
      </w:rPr>
      <w:tab/>
    </w:r>
    <w:bookmarkStart w:id="0" w:name="_GoBack"/>
    <w:r w:rsidRPr="005E6480">
      <w:fldChar w:fldCharType="begin"/>
    </w:r>
    <w:r w:rsidRPr="005E6480">
      <w:instrText>PAGE   \* MERGEFORMAT</w:instrText>
    </w:r>
    <w:r w:rsidRPr="005E6480">
      <w:fldChar w:fldCharType="separate"/>
    </w:r>
    <w:r w:rsidRPr="005E6480">
      <w:rPr>
        <w:noProof/>
        <w:lang w:val="fr-FR"/>
      </w:rPr>
      <w:t>1</w:t>
    </w:r>
    <w:r w:rsidRPr="005E6480"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80" w:rsidRDefault="005E64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D9" w:rsidRDefault="00B86BD9" w:rsidP="007229CB">
      <w:pPr>
        <w:spacing w:before="0" w:after="0"/>
      </w:pPr>
      <w:r>
        <w:separator/>
      </w:r>
    </w:p>
  </w:footnote>
  <w:footnote w:type="continuationSeparator" w:id="0">
    <w:p w:rsidR="00B86BD9" w:rsidRDefault="00B86BD9" w:rsidP="007229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80" w:rsidRDefault="005E64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80" w:rsidRDefault="005E648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80" w:rsidRDefault="005E64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179"/>
    <w:multiLevelType w:val="hybridMultilevel"/>
    <w:tmpl w:val="8B48B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15A4C"/>
    <w:multiLevelType w:val="hybridMultilevel"/>
    <w:tmpl w:val="C5F6F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B293D"/>
    <w:multiLevelType w:val="hybridMultilevel"/>
    <w:tmpl w:val="96C0C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E7E"/>
    <w:multiLevelType w:val="hybridMultilevel"/>
    <w:tmpl w:val="4EEACEB0"/>
    <w:lvl w:ilvl="0" w:tplc="98E63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17FF9"/>
    <w:multiLevelType w:val="hybridMultilevel"/>
    <w:tmpl w:val="165ABD54"/>
    <w:lvl w:ilvl="0" w:tplc="B448A67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73614"/>
    <w:multiLevelType w:val="hybridMultilevel"/>
    <w:tmpl w:val="9A86726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CB"/>
    <w:rsid w:val="00011681"/>
    <w:rsid w:val="00013A4B"/>
    <w:rsid w:val="00081926"/>
    <w:rsid w:val="000F2782"/>
    <w:rsid w:val="001202C1"/>
    <w:rsid w:val="0013399A"/>
    <w:rsid w:val="001521D2"/>
    <w:rsid w:val="001C6D3F"/>
    <w:rsid w:val="001E6050"/>
    <w:rsid w:val="001F2DF4"/>
    <w:rsid w:val="002508A0"/>
    <w:rsid w:val="00263CBF"/>
    <w:rsid w:val="002707DD"/>
    <w:rsid w:val="00345F62"/>
    <w:rsid w:val="003A2AD5"/>
    <w:rsid w:val="00402EA5"/>
    <w:rsid w:val="00475150"/>
    <w:rsid w:val="004C1CD0"/>
    <w:rsid w:val="004C4C26"/>
    <w:rsid w:val="00506B3B"/>
    <w:rsid w:val="005145BD"/>
    <w:rsid w:val="005B465E"/>
    <w:rsid w:val="005C1AC8"/>
    <w:rsid w:val="005E6480"/>
    <w:rsid w:val="0061515E"/>
    <w:rsid w:val="00635B9A"/>
    <w:rsid w:val="006C5572"/>
    <w:rsid w:val="006D539C"/>
    <w:rsid w:val="007229CB"/>
    <w:rsid w:val="00787077"/>
    <w:rsid w:val="007A6367"/>
    <w:rsid w:val="007B5DF8"/>
    <w:rsid w:val="00871B07"/>
    <w:rsid w:val="009236BF"/>
    <w:rsid w:val="0096442E"/>
    <w:rsid w:val="00A15E71"/>
    <w:rsid w:val="00A35A15"/>
    <w:rsid w:val="00A6475C"/>
    <w:rsid w:val="00AA5539"/>
    <w:rsid w:val="00AB66D7"/>
    <w:rsid w:val="00AC0A0F"/>
    <w:rsid w:val="00AC26DC"/>
    <w:rsid w:val="00AE4E32"/>
    <w:rsid w:val="00B017AE"/>
    <w:rsid w:val="00B50F2E"/>
    <w:rsid w:val="00B60851"/>
    <w:rsid w:val="00B86BD9"/>
    <w:rsid w:val="00BB206C"/>
    <w:rsid w:val="00BB5B52"/>
    <w:rsid w:val="00BD02FF"/>
    <w:rsid w:val="00BD3263"/>
    <w:rsid w:val="00BD7BDC"/>
    <w:rsid w:val="00C148CA"/>
    <w:rsid w:val="00C15B01"/>
    <w:rsid w:val="00C64344"/>
    <w:rsid w:val="00C86D93"/>
    <w:rsid w:val="00CF1088"/>
    <w:rsid w:val="00CF761E"/>
    <w:rsid w:val="00D062BC"/>
    <w:rsid w:val="00D23220"/>
    <w:rsid w:val="00D73E03"/>
    <w:rsid w:val="00DE2FC0"/>
    <w:rsid w:val="00DF3E6E"/>
    <w:rsid w:val="00E64828"/>
    <w:rsid w:val="00E9666A"/>
    <w:rsid w:val="00EB56ED"/>
    <w:rsid w:val="00F16161"/>
    <w:rsid w:val="00F71A70"/>
    <w:rsid w:val="00F752DC"/>
    <w:rsid w:val="00F96892"/>
    <w:rsid w:val="00FA761D"/>
    <w:rsid w:val="00F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CB"/>
    <w:pPr>
      <w:spacing w:before="100" w:beforeAutospacing="1" w:after="100" w:afterAutospacing="1" w:line="240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71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9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29CB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229CB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229CB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229CB"/>
    <w:rPr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71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F71A7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1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0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06C"/>
    <w:rPr>
      <w:rFonts w:ascii="Tahoma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CF761E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CB"/>
    <w:pPr>
      <w:spacing w:before="100" w:beforeAutospacing="1" w:after="100" w:afterAutospacing="1" w:line="240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71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9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29CB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229CB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229CB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229CB"/>
    <w:rPr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71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F71A7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1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0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06C"/>
    <w:rPr>
      <w:rFonts w:ascii="Tahoma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CF761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2014-10-31T23:00:00+00:00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71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8BBEAAAC-4C3B-4948-AB02-74852DFDFBE4}"/>
</file>

<file path=customXml/itemProps2.xml><?xml version="1.0" encoding="utf-8"?>
<ds:datastoreItem xmlns:ds="http://schemas.openxmlformats.org/officeDocument/2006/customXml" ds:itemID="{60F1AA3B-F936-4553-B154-237434B80B11}"/>
</file>

<file path=customXml/itemProps3.xml><?xml version="1.0" encoding="utf-8"?>
<ds:datastoreItem xmlns:ds="http://schemas.openxmlformats.org/officeDocument/2006/customXml" ds:itemID="{00445528-32C1-4AD4-8E65-C5D27B9222EA}"/>
</file>

<file path=docProps/app.xml><?xml version="1.0" encoding="utf-8"?>
<Properties xmlns="http://schemas.openxmlformats.org/officeDocument/2006/extended-properties" xmlns:vt="http://schemas.openxmlformats.org/officeDocument/2006/docPropsVTypes">
  <Template>69E7C6C3</Template>
  <TotalTime>0</TotalTime>
  <Pages>2</Pages>
  <Words>591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van het protocol: vaststelling van het maximumaantal factureerbare verstrekkingen per referentiecentrum en naleving van het totaalbudget</dc:title>
  <dc:creator/>
  <cp:lastModifiedBy/>
  <cp:revision>1</cp:revision>
  <dcterms:created xsi:type="dcterms:W3CDTF">2014-04-03T08:26:00Z</dcterms:created>
  <dcterms:modified xsi:type="dcterms:W3CDTF">2014-04-03T08:27:00Z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71;#Centre spécialisé et centre de rééducation|129a1276-b8d3-4518-bf1d-4a51502353ec</vt:lpwstr>
  </property>
  <property fmtid="{D5CDD505-2E9C-101B-9397-08002B2CF9AE}" pid="4" name="RITheme">
    <vt:lpwstr/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</Properties>
</file>