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8D" w:rsidRPr="00185C66" w:rsidRDefault="004D5E8D" w:rsidP="004D5E8D">
      <w:pPr>
        <w:tabs>
          <w:tab w:val="left" w:pos="567"/>
          <w:tab w:val="left" w:pos="1134"/>
          <w:tab w:val="left" w:pos="1701"/>
        </w:tabs>
        <w:spacing w:after="100"/>
        <w:jc w:val="center"/>
        <w:rPr>
          <w:bCs/>
          <w:sz w:val="22"/>
          <w:szCs w:val="22"/>
        </w:rPr>
      </w:pPr>
      <w:r w:rsidRPr="00185C66">
        <w:rPr>
          <w:b/>
          <w:bCs/>
          <w:sz w:val="22"/>
          <w:szCs w:val="22"/>
        </w:rPr>
        <w:t>[I</w:t>
      </w:r>
      <w:r w:rsidRPr="00185C66">
        <w:rPr>
          <w:bCs/>
          <w:sz w:val="22"/>
          <w:szCs w:val="22"/>
        </w:rPr>
        <w:t xml:space="preserve"> – </w:t>
      </w:r>
      <w:proofErr w:type="spellStart"/>
      <w:r w:rsidRPr="00185C66">
        <w:rPr>
          <w:bCs/>
          <w:sz w:val="22"/>
          <w:szCs w:val="22"/>
        </w:rPr>
        <w:t>Règl</w:t>
      </w:r>
      <w:proofErr w:type="spellEnd"/>
      <w:r w:rsidRPr="00185C66">
        <w:rPr>
          <w:bCs/>
          <w:sz w:val="22"/>
          <w:szCs w:val="22"/>
        </w:rPr>
        <w:t xml:space="preserve">. 4-5-15 – M.B. 11-12 – </w:t>
      </w:r>
      <w:proofErr w:type="spellStart"/>
      <w:r w:rsidRPr="00185C66">
        <w:rPr>
          <w:bCs/>
          <w:sz w:val="22"/>
          <w:szCs w:val="22"/>
        </w:rPr>
        <w:t>éd</w:t>
      </w:r>
      <w:proofErr w:type="spellEnd"/>
      <w:r w:rsidRPr="00185C66">
        <w:rPr>
          <w:bCs/>
          <w:sz w:val="22"/>
          <w:szCs w:val="22"/>
        </w:rPr>
        <w:t>. 1 - art. 2</w:t>
      </w:r>
      <w:r w:rsidRPr="00185C66">
        <w:rPr>
          <w:b/>
          <w:bCs/>
          <w:sz w:val="22"/>
          <w:szCs w:val="22"/>
        </w:rPr>
        <w:t xml:space="preserve">] </w:t>
      </w:r>
      <w:r w:rsidRPr="00185C66">
        <w:rPr>
          <w:bCs/>
          <w:sz w:val="22"/>
          <w:szCs w:val="22"/>
        </w:rPr>
        <w:footnoteReference w:customMarkFollows="1" w:id="1"/>
        <w:t>(°)</w:t>
      </w:r>
    </w:p>
    <w:p w:rsidR="004D5E8D" w:rsidRPr="0087241E" w:rsidRDefault="004D5E8D" w:rsidP="004D5E8D">
      <w:pPr>
        <w:tabs>
          <w:tab w:val="left" w:pos="567"/>
        </w:tabs>
        <w:spacing w:after="100"/>
        <w:jc w:val="center"/>
        <w:rPr>
          <w:b/>
          <w:sz w:val="22"/>
          <w:szCs w:val="22"/>
          <w:lang w:val="fr-BE"/>
        </w:rPr>
      </w:pPr>
      <w:r w:rsidRPr="0087241E">
        <w:rPr>
          <w:b/>
          <w:sz w:val="22"/>
          <w:szCs w:val="22"/>
          <w:lang w:val="fr-BE"/>
        </w:rPr>
        <w:t>[Annexe 85</w:t>
      </w:r>
    </w:p>
    <w:p w:rsidR="004D5E8D" w:rsidRPr="00185C66" w:rsidRDefault="004D5E8D" w:rsidP="004D5E8D">
      <w:pPr>
        <w:tabs>
          <w:tab w:val="left" w:pos="567"/>
        </w:tabs>
        <w:spacing w:after="100"/>
        <w:rPr>
          <w:sz w:val="22"/>
          <w:szCs w:val="22"/>
          <w:lang w:val="fr-BE"/>
        </w:rPr>
      </w:pPr>
    </w:p>
    <w:p w:rsidR="004D5E8D" w:rsidRPr="00185C66" w:rsidRDefault="004D5E8D" w:rsidP="004D5E8D">
      <w:pPr>
        <w:tabs>
          <w:tab w:val="left" w:pos="567"/>
        </w:tabs>
        <w:spacing w:after="100"/>
        <w:jc w:val="center"/>
        <w:rPr>
          <w:b/>
          <w:sz w:val="22"/>
          <w:szCs w:val="22"/>
          <w:lang w:val="fr-BE"/>
        </w:rPr>
      </w:pPr>
      <w:r w:rsidRPr="00185C66">
        <w:rPr>
          <w:b/>
          <w:sz w:val="22"/>
          <w:szCs w:val="22"/>
          <w:lang w:val="fr-BE"/>
        </w:rPr>
        <w:t>Protocole de soins pour patients diabétiques de type 2</w:t>
      </w:r>
    </w:p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</w:p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  <w:r w:rsidRPr="00185C66">
        <w:rPr>
          <w:sz w:val="22"/>
          <w:szCs w:val="22"/>
          <w:lang w:val="fr-BE"/>
        </w:rPr>
        <w:tab/>
        <w:t>Ce protocole de soins ne se substitue pas aux recommandations de bonne pratique qui guident effectivement le suivi du patient diabétique.</w:t>
      </w:r>
    </w:p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  <w:r w:rsidRPr="00185C66">
        <w:rPr>
          <w:sz w:val="22"/>
          <w:szCs w:val="22"/>
          <w:lang w:val="fr-BE"/>
        </w:rPr>
        <w:tab/>
        <w:t>Les bénéficiaires de la prestation (102852) pour le suivi d’un patient diabétique de type 2 (102852) ne participent pas à un trajet de soins ou à une convention pour patients diabétiques.</w:t>
      </w:r>
    </w:p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  <w:r w:rsidRPr="00185C66">
        <w:rPr>
          <w:sz w:val="22"/>
          <w:szCs w:val="22"/>
          <w:lang w:val="fr-BE"/>
        </w:rPr>
        <w:tab/>
        <w:t>Ce protocole de soins se limite à recenser les données fondamentales à enregistrer dans le dossier médical global des patients diabétiques de type 2 qui bénéficient de la prestation pour le suivi d’un patient diabétique de type 2 (102852) :</w:t>
      </w:r>
    </w:p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858"/>
      </w:tblGrid>
      <w:tr w:rsidR="004D5E8D" w:rsidRPr="0087241E" w:rsidTr="004609DE">
        <w:tc>
          <w:tcPr>
            <w:tcW w:w="8786" w:type="dxa"/>
            <w:gridSpan w:val="2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A.</w:t>
            </w:r>
            <w:r w:rsidRPr="00FA16D4">
              <w:rPr>
                <w:b/>
                <w:sz w:val="22"/>
                <w:szCs w:val="22"/>
                <w:lang w:val="fr-BE"/>
              </w:rPr>
              <w:tab/>
              <w:t>DIAGNOSTIC</w:t>
            </w:r>
            <w:r w:rsidRPr="00FA16D4">
              <w:rPr>
                <w:sz w:val="22"/>
                <w:szCs w:val="22"/>
                <w:lang w:val="fr-BE"/>
              </w:rPr>
              <w:t xml:space="preserve"> (codé et enregistré dans la rubrique des maladies actives)</w:t>
            </w:r>
          </w:p>
        </w:tc>
      </w:tr>
      <w:tr w:rsidR="004D5E8D" w:rsidRPr="0087241E" w:rsidTr="004609DE">
        <w:tc>
          <w:tcPr>
            <w:tcW w:w="8786" w:type="dxa"/>
            <w:gridSpan w:val="2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87241E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B.</w:t>
            </w:r>
            <w:r w:rsidRPr="00FA16D4">
              <w:rPr>
                <w:b/>
                <w:sz w:val="22"/>
                <w:szCs w:val="22"/>
                <w:lang w:val="fr-BE"/>
              </w:rPr>
              <w:tab/>
              <w:t>SUIVI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Temps maximum écoulé depuis le dernier enregistrement</w:t>
            </w:r>
          </w:p>
        </w:tc>
      </w:tr>
      <w:tr w:rsidR="004D5E8D" w:rsidRPr="0087241E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fr-BE"/>
              </w:rPr>
            </w:pP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Mode de vie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ind w:left="930"/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Arrêt du tabagisme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ind w:left="930"/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Alimentation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ind w:left="930"/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Activité physique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ind w:left="930"/>
              <w:jc w:val="both"/>
              <w:rPr>
                <w:sz w:val="22"/>
                <w:szCs w:val="22"/>
                <w:lang w:val="fr-BE"/>
              </w:rPr>
            </w:pP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Clinique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BMI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TA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6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Evaluation du risque de plaie aux pieds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15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Analyses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HbA1c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6mois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Bilan lipidique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15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Cholestérol – HDL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Cholestérol – LDL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Triglycérides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  <w:t>Créatinine sérique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15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ab/>
            </w:r>
            <w:r w:rsidRPr="00FA16D4">
              <w:rPr>
                <w:sz w:val="22"/>
                <w:szCs w:val="22"/>
                <w:lang w:val="fr-BE"/>
              </w:rPr>
              <w:tab/>
            </w:r>
            <w:proofErr w:type="spellStart"/>
            <w:r w:rsidRPr="00FA16D4">
              <w:rPr>
                <w:sz w:val="22"/>
                <w:szCs w:val="22"/>
                <w:lang w:val="fr-BE"/>
              </w:rPr>
              <w:t>Mircroalbuminurie</w:t>
            </w:r>
            <w:proofErr w:type="spellEnd"/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15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276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Consultations spécialisées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ind w:left="930"/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Demande d’examen ophtalmologique</w:t>
            </w: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  <w:r w:rsidRPr="00FA16D4">
              <w:rPr>
                <w:sz w:val="22"/>
                <w:szCs w:val="22"/>
                <w:lang w:val="fr-BE"/>
              </w:rPr>
              <w:t>15 mois</w:t>
            </w:r>
          </w:p>
        </w:tc>
      </w:tr>
      <w:tr w:rsidR="004D5E8D" w:rsidRPr="00FA16D4" w:rsidTr="004609DE">
        <w:tc>
          <w:tcPr>
            <w:tcW w:w="492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  <w:tab w:val="left" w:pos="993"/>
                <w:tab w:val="left" w:pos="1276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  <w:tc>
          <w:tcPr>
            <w:tcW w:w="3858" w:type="dxa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fr-BE"/>
              </w:rPr>
            </w:pPr>
          </w:p>
        </w:tc>
      </w:tr>
      <w:tr w:rsidR="004D5E8D" w:rsidRPr="0087241E" w:rsidTr="004609DE">
        <w:tc>
          <w:tcPr>
            <w:tcW w:w="8786" w:type="dxa"/>
            <w:gridSpan w:val="2"/>
            <w:shd w:val="clear" w:color="auto" w:fill="auto"/>
          </w:tcPr>
          <w:p w:rsidR="004D5E8D" w:rsidRPr="00FA16D4" w:rsidRDefault="004D5E8D" w:rsidP="004609DE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fr-BE"/>
              </w:rPr>
            </w:pPr>
            <w:r w:rsidRPr="00FA16D4">
              <w:rPr>
                <w:b/>
                <w:sz w:val="22"/>
                <w:szCs w:val="22"/>
                <w:lang w:val="fr-BE"/>
              </w:rPr>
              <w:t>C.</w:t>
            </w:r>
            <w:r w:rsidRPr="00FA16D4">
              <w:rPr>
                <w:b/>
                <w:sz w:val="22"/>
                <w:szCs w:val="22"/>
                <w:lang w:val="fr-BE"/>
              </w:rPr>
              <w:tab/>
              <w:t>FIXATION DES OBJECTIFS AVEC LE PATIENT]</w:t>
            </w:r>
          </w:p>
        </w:tc>
      </w:tr>
    </w:tbl>
    <w:p w:rsidR="004D5E8D" w:rsidRPr="00185C66" w:rsidRDefault="004D5E8D" w:rsidP="004D5E8D">
      <w:pPr>
        <w:tabs>
          <w:tab w:val="left" w:pos="567"/>
        </w:tabs>
        <w:spacing w:after="100"/>
        <w:jc w:val="both"/>
        <w:rPr>
          <w:sz w:val="22"/>
          <w:szCs w:val="22"/>
          <w:lang w:val="fr-BE"/>
        </w:rPr>
      </w:pPr>
    </w:p>
    <w:p w:rsidR="004D5E8D" w:rsidRDefault="004D5E8D">
      <w:pPr>
        <w:spacing w:after="200" w:line="276" w:lineRule="auto"/>
        <w:rPr>
          <w:lang w:val="fr-BE"/>
        </w:rPr>
      </w:pPr>
      <w:r>
        <w:rPr>
          <w:lang w:val="fr-BE"/>
        </w:rPr>
        <w:br w:type="page"/>
      </w:r>
    </w:p>
    <w:p w:rsidR="004D5E8D" w:rsidRPr="0087241E" w:rsidRDefault="004D5E8D" w:rsidP="004D5E8D">
      <w:pPr>
        <w:rPr>
          <w:lang w:val="fr-BE"/>
        </w:rPr>
      </w:pPr>
    </w:p>
    <w:p w:rsidR="004D5E8D" w:rsidRDefault="004D5E8D" w:rsidP="004D5E8D">
      <w:pPr>
        <w:pStyle w:val="kdoctoc2"/>
        <w:rPr>
          <w:color w:val="000000"/>
        </w:rPr>
      </w:pPr>
      <w:r>
        <w:rPr>
          <w:color w:val="000000"/>
        </w:rPr>
        <w:t xml:space="preserve">CHAPITRE </w:t>
      </w:r>
      <w:proofErr w:type="spellStart"/>
      <w:r>
        <w:rPr>
          <w:color w:val="000000"/>
        </w:rPr>
        <w:t>XIIIdecies</w:t>
      </w:r>
      <w:proofErr w:type="spellEnd"/>
      <w:r>
        <w:rPr>
          <w:color w:val="000000"/>
        </w:rPr>
        <w:t xml:space="preserve">. – DU PROTOCOLE DE SOINS POUR PATIENT DIABETIQUE DE TYPE 2 </w:t>
      </w:r>
    </w:p>
    <w:bookmarkStart w:id="0" w:name="1506286"/>
    <w:bookmarkEnd w:id="0"/>
    <w:p w:rsidR="004D5E8D" w:rsidRDefault="004D5E8D" w:rsidP="004D5E8D">
      <w:pPr>
        <w:pStyle w:val="kdoctoc8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"http://docleg2k/docleg/kronet/cgi-bin/cgint.exe/137330-84?1&amp;tmpl=kartlis&amp;OIDN=1506286&amp;-DTRF=26/02/2015" </w:instrText>
      </w:r>
      <w:r>
        <w:rPr>
          <w:color w:val="000000"/>
        </w:rPr>
        <w:fldChar w:fldCharType="separate"/>
      </w:r>
      <w:r>
        <w:rPr>
          <w:rStyle w:val="kprefix81"/>
          <w:color w:val="003399"/>
        </w:rPr>
        <w:t>Art. 30decies</w:t>
      </w:r>
      <w:r>
        <w:rPr>
          <w:color w:val="000000"/>
        </w:rPr>
        <w:fldChar w:fldCharType="end"/>
      </w:r>
      <w:bookmarkStart w:id="1" w:name="1506287"/>
      <w:bookmarkEnd w:id="1"/>
    </w:p>
    <w:p w:rsidR="004D5E8D" w:rsidRPr="004D5E8D" w:rsidRDefault="004D5E8D" w:rsidP="004D5E8D">
      <w:pPr>
        <w:rPr>
          <w:rFonts w:ascii="Arial" w:hAnsi="Arial" w:cs="Arial"/>
          <w:color w:val="000000"/>
          <w:sz w:val="18"/>
          <w:szCs w:val="18"/>
          <w:lang w:val="fr-BE"/>
        </w:rPr>
      </w:pPr>
      <w:r w:rsidRPr="004D5E8D">
        <w:rPr>
          <w:rFonts w:ascii="Arial" w:hAnsi="Arial" w:cs="Arial"/>
          <w:color w:val="000000"/>
          <w:sz w:val="18"/>
          <w:szCs w:val="18"/>
          <w:lang w:val="fr-BE"/>
        </w:rPr>
        <w:t xml:space="preserve">Le protocole de soins mentionné dans le libellé de la prestation </w:t>
      </w:r>
      <w:r w:rsidRPr="004D5E8D">
        <w:rPr>
          <w:rFonts w:ascii="Palatino-Roman" w:eastAsiaTheme="minorHAnsi" w:hAnsi="Palatino-Roman" w:cs="Palatino-Roman"/>
          <w:color w:val="161616"/>
          <w:sz w:val="16"/>
          <w:szCs w:val="16"/>
          <w:lang w:val="fr-BE"/>
        </w:rPr>
        <w:t>102852</w:t>
      </w:r>
      <w:r w:rsidRPr="004D5E8D">
        <w:rPr>
          <w:rFonts w:ascii="Arial" w:hAnsi="Arial" w:cs="Arial"/>
          <w:color w:val="000000"/>
          <w:sz w:val="18"/>
          <w:szCs w:val="18"/>
          <w:lang w:val="fr-BE"/>
        </w:rPr>
        <w:t xml:space="preserve"> de la nomenclature des prestations de santé est détaillé à l’annexe </w:t>
      </w:r>
      <w:r w:rsidR="0087241E">
        <w:rPr>
          <w:rFonts w:ascii="Arial" w:hAnsi="Arial" w:cs="Arial"/>
          <w:color w:val="000000"/>
          <w:sz w:val="18"/>
          <w:szCs w:val="18"/>
          <w:lang w:val="fr-BE"/>
        </w:rPr>
        <w:t>85</w:t>
      </w:r>
      <w:bookmarkStart w:id="2" w:name="_GoBack"/>
      <w:bookmarkEnd w:id="2"/>
      <w:r w:rsidRPr="004D5E8D">
        <w:rPr>
          <w:rFonts w:ascii="Arial" w:hAnsi="Arial" w:cs="Arial"/>
          <w:color w:val="000000"/>
          <w:sz w:val="18"/>
          <w:szCs w:val="18"/>
          <w:lang w:val="fr-BE"/>
        </w:rPr>
        <w:t>.  Ce protocole définit :</w:t>
      </w:r>
    </w:p>
    <w:p w:rsidR="004D5E8D" w:rsidRDefault="004D5E8D" w:rsidP="004D5E8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les bénéficiaires de la prestation </w:t>
      </w:r>
      <w:r>
        <w:rPr>
          <w:rFonts w:ascii="Palatino-Roman" w:hAnsi="Palatino-Roman" w:cs="Palatino-Roman"/>
          <w:color w:val="161616"/>
          <w:sz w:val="16"/>
          <w:szCs w:val="16"/>
        </w:rPr>
        <w:t>102852</w:t>
      </w:r>
    </w:p>
    <w:p w:rsidR="004D5E8D" w:rsidRDefault="004D5E8D" w:rsidP="004D5E8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références en matière de suivi des patients diabétiques de type 2</w:t>
      </w:r>
    </w:p>
    <w:p w:rsidR="00B807E2" w:rsidRPr="004D5E8D" w:rsidRDefault="004D5E8D" w:rsidP="004D5E8D">
      <w:pPr>
        <w:pStyle w:val="ListParagraph"/>
        <w:numPr>
          <w:ilvl w:val="0"/>
          <w:numId w:val="2"/>
        </w:numPr>
      </w:pPr>
      <w:r w:rsidRPr="004D5E8D">
        <w:rPr>
          <w:rFonts w:ascii="Arial" w:hAnsi="Arial" w:cs="Arial"/>
          <w:color w:val="000000"/>
          <w:sz w:val="18"/>
          <w:szCs w:val="18"/>
        </w:rPr>
        <w:t xml:space="preserve">Les données à enregistrer dans le DMG du bénéficiaire de la prestation </w:t>
      </w:r>
      <w:r>
        <w:rPr>
          <w:rFonts w:ascii="Palatino-Roman" w:hAnsi="Palatino-Roman" w:cs="Palatino-Roman"/>
          <w:color w:val="161616"/>
          <w:sz w:val="16"/>
          <w:szCs w:val="16"/>
        </w:rPr>
        <w:t>102852.</w:t>
      </w:r>
    </w:p>
    <w:sectPr w:rsidR="00B807E2" w:rsidRPr="004D5E8D" w:rsidSect="00CC3BA7">
      <w:headerReference w:type="default" r:id="rId8"/>
      <w:footerReference w:type="default" r:id="rId9"/>
      <w:pgSz w:w="12240" w:h="15840" w:code="1"/>
      <w:pgMar w:top="1440" w:right="1797" w:bottom="1440" w:left="1797" w:header="709" w:footer="709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8D" w:rsidRDefault="004D5E8D" w:rsidP="004D5E8D">
      <w:r>
        <w:separator/>
      </w:r>
    </w:p>
  </w:endnote>
  <w:endnote w:type="continuationSeparator" w:id="0">
    <w:p w:rsidR="004D5E8D" w:rsidRDefault="004D5E8D" w:rsidP="004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46" w:rsidRDefault="004D5E8D" w:rsidP="00CC3BA7">
    <w:pPr>
      <w:pStyle w:val="Footer"/>
      <w:tabs>
        <w:tab w:val="center" w:pos="6720"/>
        <w:tab w:val="right" w:pos="9072"/>
      </w:tabs>
    </w:pPr>
    <w:r>
      <w:rPr>
        <w:rStyle w:val="PageNumber"/>
        <w:sz w:val="18"/>
        <w:szCs w:val="18"/>
      </w:rPr>
      <w:t>Mise à jour 45/2016</w:t>
    </w:r>
    <w:r>
      <w:rPr>
        <w:rStyle w:val="PageNumber"/>
      </w:rPr>
      <w:tab/>
    </w:r>
    <w:r w:rsidRPr="00E22635">
      <w:rPr>
        <w:rStyle w:val="PageNumber"/>
        <w:szCs w:val="23"/>
      </w:rPr>
      <w:t xml:space="preserve">- </w:t>
    </w:r>
    <w:r>
      <w:rPr>
        <w:rStyle w:val="PageNumber"/>
        <w:szCs w:val="23"/>
      </w:rPr>
      <w:t>196</w:t>
    </w:r>
    <w:r w:rsidRPr="00E22635">
      <w:rPr>
        <w:rStyle w:val="PageNumber"/>
        <w:szCs w:val="23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8D" w:rsidRDefault="004D5E8D" w:rsidP="004D5E8D">
      <w:r>
        <w:separator/>
      </w:r>
    </w:p>
  </w:footnote>
  <w:footnote w:type="continuationSeparator" w:id="0">
    <w:p w:rsidR="004D5E8D" w:rsidRDefault="004D5E8D" w:rsidP="004D5E8D">
      <w:r>
        <w:continuationSeparator/>
      </w:r>
    </w:p>
  </w:footnote>
  <w:footnote w:id="1">
    <w:p w:rsidR="004D5E8D" w:rsidRPr="00C82B48" w:rsidRDefault="004D5E8D" w:rsidP="004D5E8D">
      <w:pPr>
        <w:pStyle w:val="FootnoteText"/>
        <w:keepNext/>
        <w:keepLines/>
        <w:rPr>
          <w:szCs w:val="18"/>
        </w:rPr>
      </w:pPr>
      <w:r w:rsidRPr="00CB77E7">
        <w:rPr>
          <w:rStyle w:val="FootnoteReference"/>
          <w:sz w:val="18"/>
          <w:szCs w:val="18"/>
        </w:rPr>
        <w:t>(°)</w:t>
      </w:r>
      <w:r w:rsidRPr="00CB77E7">
        <w:rPr>
          <w:szCs w:val="18"/>
        </w:rPr>
        <w:t xml:space="preserve"> </w:t>
      </w:r>
      <w:proofErr w:type="spellStart"/>
      <w:r>
        <w:rPr>
          <w:szCs w:val="18"/>
        </w:rPr>
        <w:t>d’application</w:t>
      </w:r>
      <w:proofErr w:type="spellEnd"/>
      <w:r>
        <w:rPr>
          <w:szCs w:val="18"/>
        </w:rPr>
        <w:t xml:space="preserve"> à </w:t>
      </w:r>
      <w:proofErr w:type="spellStart"/>
      <w:r>
        <w:rPr>
          <w:szCs w:val="18"/>
        </w:rPr>
        <w:t>partir</w:t>
      </w:r>
      <w:proofErr w:type="spellEnd"/>
      <w:r>
        <w:rPr>
          <w:szCs w:val="18"/>
        </w:rPr>
        <w:t xml:space="preserve"> du</w:t>
      </w:r>
      <w:r w:rsidRPr="00CB77E7">
        <w:rPr>
          <w:spacing w:val="-2"/>
          <w:szCs w:val="18"/>
        </w:rPr>
        <w:t xml:space="preserve"> 1-</w:t>
      </w:r>
      <w:r>
        <w:rPr>
          <w:spacing w:val="-2"/>
          <w:szCs w:val="18"/>
        </w:rPr>
        <w:t>2</w:t>
      </w:r>
      <w:r w:rsidRPr="00CB77E7">
        <w:rPr>
          <w:spacing w:val="-2"/>
          <w:szCs w:val="18"/>
        </w:rPr>
        <w:t>-201</w:t>
      </w:r>
      <w:r>
        <w:rPr>
          <w:spacing w:val="-2"/>
          <w:szCs w:val="18"/>
        </w:rPr>
        <w:t>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46" w:rsidRPr="002067B2" w:rsidRDefault="004D5E8D" w:rsidP="002067B2">
    <w:pPr>
      <w:pStyle w:val="Header"/>
      <w:jc w:val="right"/>
      <w:rPr>
        <w:sz w:val="18"/>
        <w:lang w:val="fr-BE"/>
      </w:rPr>
    </w:pPr>
    <w:r w:rsidRPr="002067B2">
      <w:rPr>
        <w:sz w:val="18"/>
        <w:lang w:val="fr-BE"/>
      </w:rPr>
      <w:t>A</w:t>
    </w:r>
    <w:r>
      <w:rPr>
        <w:sz w:val="18"/>
        <w:lang w:val="fr-BE"/>
      </w:rPr>
      <w:t>.</w:t>
    </w:r>
    <w:r w:rsidRPr="002067B2">
      <w:rPr>
        <w:sz w:val="18"/>
        <w:lang w:val="fr-BE"/>
      </w:rPr>
      <w:t>M</w:t>
    </w:r>
    <w:r>
      <w:rPr>
        <w:sz w:val="18"/>
        <w:lang w:val="fr-BE"/>
      </w:rPr>
      <w:t>.</w:t>
    </w:r>
    <w:r w:rsidRPr="002067B2">
      <w:rPr>
        <w:sz w:val="18"/>
        <w:lang w:val="fr-BE"/>
      </w:rPr>
      <w:t>I</w:t>
    </w:r>
    <w:r>
      <w:rPr>
        <w:sz w:val="18"/>
        <w:lang w:val="fr-BE"/>
      </w:rPr>
      <w:t>.</w:t>
    </w:r>
    <w:r w:rsidRPr="002067B2">
      <w:rPr>
        <w:sz w:val="18"/>
        <w:lang w:val="fr-BE"/>
      </w:rPr>
      <w:t>/Soins de santé</w:t>
    </w:r>
  </w:p>
  <w:p w:rsidR="006B5C46" w:rsidRDefault="004D5E8D" w:rsidP="002067B2">
    <w:pPr>
      <w:pStyle w:val="Header"/>
      <w:jc w:val="right"/>
      <w:rPr>
        <w:sz w:val="18"/>
        <w:lang w:val="nl-BE"/>
      </w:rPr>
    </w:pPr>
    <w:proofErr w:type="spellStart"/>
    <w:r w:rsidRPr="002067B2">
      <w:rPr>
        <w:sz w:val="18"/>
        <w:lang w:val="fr-BE"/>
      </w:rPr>
      <w:t>Règl</w:t>
    </w:r>
    <w:proofErr w:type="spellEnd"/>
    <w:r w:rsidRPr="002067B2">
      <w:rPr>
        <w:sz w:val="18"/>
        <w:lang w:val="fr-BE"/>
      </w:rPr>
      <w:t xml:space="preserve">. </w:t>
    </w:r>
    <w:r>
      <w:rPr>
        <w:sz w:val="18"/>
        <w:lang w:val="fr-BE"/>
      </w:rPr>
      <w:t>du</w:t>
    </w:r>
    <w:r>
      <w:rPr>
        <w:sz w:val="18"/>
        <w:lang w:val="nl-BE"/>
      </w:rPr>
      <w:t xml:space="preserve"> 28-7-2003</w:t>
    </w:r>
  </w:p>
  <w:p w:rsidR="006B5C46" w:rsidRDefault="004D5E8D" w:rsidP="002067B2">
    <w:pPr>
      <w:pStyle w:val="Header"/>
      <w:pBdr>
        <w:bottom w:val="single" w:sz="4" w:space="1" w:color="auto"/>
      </w:pBdr>
      <w:jc w:val="right"/>
      <w:rPr>
        <w:sz w:val="18"/>
        <w:lang w:val="nl-BE"/>
      </w:rPr>
    </w:pPr>
    <w:r>
      <w:rPr>
        <w:sz w:val="18"/>
        <w:lang w:val="nl-BE"/>
      </w:rPr>
      <w:t>Annexe</w:t>
    </w:r>
  </w:p>
  <w:p w:rsidR="006B5C46" w:rsidRDefault="00872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620A"/>
    <w:multiLevelType w:val="hybridMultilevel"/>
    <w:tmpl w:val="ADDAF124"/>
    <w:lvl w:ilvl="0" w:tplc="E6F296C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50" w:hanging="360"/>
      </w:pPr>
    </w:lvl>
    <w:lvl w:ilvl="2" w:tplc="080C001B" w:tentative="1">
      <w:start w:val="1"/>
      <w:numFmt w:val="lowerRoman"/>
      <w:lvlText w:val="%3."/>
      <w:lvlJc w:val="right"/>
      <w:pPr>
        <w:ind w:left="2370" w:hanging="180"/>
      </w:pPr>
    </w:lvl>
    <w:lvl w:ilvl="3" w:tplc="080C000F" w:tentative="1">
      <w:start w:val="1"/>
      <w:numFmt w:val="decimal"/>
      <w:lvlText w:val="%4."/>
      <w:lvlJc w:val="left"/>
      <w:pPr>
        <w:ind w:left="3090" w:hanging="360"/>
      </w:pPr>
    </w:lvl>
    <w:lvl w:ilvl="4" w:tplc="080C0019" w:tentative="1">
      <w:start w:val="1"/>
      <w:numFmt w:val="lowerLetter"/>
      <w:lvlText w:val="%5."/>
      <w:lvlJc w:val="left"/>
      <w:pPr>
        <w:ind w:left="3810" w:hanging="360"/>
      </w:pPr>
    </w:lvl>
    <w:lvl w:ilvl="5" w:tplc="080C001B" w:tentative="1">
      <w:start w:val="1"/>
      <w:numFmt w:val="lowerRoman"/>
      <w:lvlText w:val="%6."/>
      <w:lvlJc w:val="right"/>
      <w:pPr>
        <w:ind w:left="4530" w:hanging="180"/>
      </w:pPr>
    </w:lvl>
    <w:lvl w:ilvl="6" w:tplc="080C000F" w:tentative="1">
      <w:start w:val="1"/>
      <w:numFmt w:val="decimal"/>
      <w:lvlText w:val="%7."/>
      <w:lvlJc w:val="left"/>
      <w:pPr>
        <w:ind w:left="5250" w:hanging="360"/>
      </w:pPr>
    </w:lvl>
    <w:lvl w:ilvl="7" w:tplc="080C0019" w:tentative="1">
      <w:start w:val="1"/>
      <w:numFmt w:val="lowerLetter"/>
      <w:lvlText w:val="%8."/>
      <w:lvlJc w:val="left"/>
      <w:pPr>
        <w:ind w:left="5970" w:hanging="360"/>
      </w:pPr>
    </w:lvl>
    <w:lvl w:ilvl="8" w:tplc="08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111268C"/>
    <w:multiLevelType w:val="hybridMultilevel"/>
    <w:tmpl w:val="87B22FCE"/>
    <w:lvl w:ilvl="0" w:tplc="078AA22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D"/>
    <w:rsid w:val="004D5E8D"/>
    <w:rsid w:val="0087241E"/>
    <w:rsid w:val="00B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5E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D5E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D5E8D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uiPriority w:val="99"/>
    <w:rsid w:val="004D5E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5E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4D5E8D"/>
    <w:rPr>
      <w:vertAlign w:val="superscript"/>
    </w:rPr>
  </w:style>
  <w:style w:type="paragraph" w:styleId="Header">
    <w:name w:val="header"/>
    <w:basedOn w:val="Normal"/>
    <w:link w:val="HeaderChar"/>
    <w:unhideWhenUsed/>
    <w:rsid w:val="004D5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5E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5E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customStyle="1" w:styleId="kdoctoc2">
    <w:name w:val="kdoctoc2"/>
    <w:basedOn w:val="Normal"/>
    <w:rsid w:val="004D5E8D"/>
    <w:pPr>
      <w:shd w:val="clear" w:color="auto" w:fill="FFFFFF"/>
      <w:spacing w:before="90" w:after="100" w:afterAutospacing="1"/>
      <w:ind w:left="225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kdoctoc8">
    <w:name w:val="kdoctoc8"/>
    <w:basedOn w:val="Normal"/>
    <w:rsid w:val="004D5E8D"/>
    <w:pPr>
      <w:shd w:val="clear" w:color="auto" w:fill="FFFFFF"/>
      <w:spacing w:before="90" w:after="100" w:afterAutospacing="1"/>
      <w:ind w:left="675"/>
    </w:pPr>
    <w:rPr>
      <w:rFonts w:ascii="Arial" w:hAnsi="Arial" w:cs="Arial"/>
      <w:sz w:val="18"/>
      <w:szCs w:val="18"/>
      <w:lang w:val="fr-BE" w:eastAsia="fr-BE"/>
    </w:rPr>
  </w:style>
  <w:style w:type="character" w:customStyle="1" w:styleId="kprefix81">
    <w:name w:val="kprefix81"/>
    <w:basedOn w:val="DefaultParagraphFont"/>
    <w:rsid w:val="004D5E8D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5E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D5E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4D5E8D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uiPriority w:val="99"/>
    <w:rsid w:val="004D5E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5E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4D5E8D"/>
    <w:rPr>
      <w:vertAlign w:val="superscript"/>
    </w:rPr>
  </w:style>
  <w:style w:type="paragraph" w:styleId="Header">
    <w:name w:val="header"/>
    <w:basedOn w:val="Normal"/>
    <w:link w:val="HeaderChar"/>
    <w:unhideWhenUsed/>
    <w:rsid w:val="004D5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5E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5E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customStyle="1" w:styleId="kdoctoc2">
    <w:name w:val="kdoctoc2"/>
    <w:basedOn w:val="Normal"/>
    <w:rsid w:val="004D5E8D"/>
    <w:pPr>
      <w:shd w:val="clear" w:color="auto" w:fill="FFFFFF"/>
      <w:spacing w:before="90" w:after="100" w:afterAutospacing="1"/>
      <w:ind w:left="225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kdoctoc8">
    <w:name w:val="kdoctoc8"/>
    <w:basedOn w:val="Normal"/>
    <w:rsid w:val="004D5E8D"/>
    <w:pPr>
      <w:shd w:val="clear" w:color="auto" w:fill="FFFFFF"/>
      <w:spacing w:before="90" w:after="100" w:afterAutospacing="1"/>
      <w:ind w:left="675"/>
    </w:pPr>
    <w:rPr>
      <w:rFonts w:ascii="Arial" w:hAnsi="Arial" w:cs="Arial"/>
      <w:sz w:val="18"/>
      <w:szCs w:val="18"/>
      <w:lang w:val="fr-BE" w:eastAsia="fr-BE"/>
    </w:rPr>
  </w:style>
  <w:style w:type="character" w:customStyle="1" w:styleId="kprefix81">
    <w:name w:val="kprefix81"/>
    <w:basedOn w:val="DefaultParagraphFont"/>
    <w:rsid w:val="004D5E8D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2016-02-29T23:00:00+00:00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29</Value>
      <Value>8</Value>
      <Value>18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A847D-D23B-42A3-8580-75C754813148}"/>
</file>

<file path=customXml/itemProps2.xml><?xml version="1.0" encoding="utf-8"?>
<ds:datastoreItem xmlns:ds="http://schemas.openxmlformats.org/officeDocument/2006/customXml" ds:itemID="{CFB82704-D154-44A7-9BE1-1D4B55C6BF9C}"/>
</file>

<file path=customXml/itemProps3.xml><?xml version="1.0" encoding="utf-8"?>
<ds:datastoreItem xmlns:ds="http://schemas.openxmlformats.org/officeDocument/2006/customXml" ds:itemID="{8194A01C-461B-4207-9177-917160C002D1}"/>
</file>

<file path=docProps/app.xml><?xml version="1.0" encoding="utf-8"?>
<Properties xmlns="http://schemas.openxmlformats.org/officeDocument/2006/extended-properties" xmlns:vt="http://schemas.openxmlformats.org/officeDocument/2006/docPropsVTypes">
  <Template>9F87331.dotm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soins pour patients diabétiques de type 2</dc:title>
  <dc:creator>Linda Vandenberg</dc:creator>
  <cp:lastModifiedBy>Linda Vandenberg</cp:lastModifiedBy>
  <cp:revision>2</cp:revision>
  <dcterms:created xsi:type="dcterms:W3CDTF">2016-02-29T14:19:00Z</dcterms:created>
  <dcterms:modified xsi:type="dcterms:W3CDTF">2016-03-01T08:42:00Z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2066600</vt:r8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